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56415" w:rsidP="00056415" w:rsidRDefault="00056415" w14:paraId="3AF15192" w14:textId="77777777">
      <w:r w:rsidRPr="00067D68">
        <w:rPr>
          <w:noProof/>
          <w:color w:val="FF0000"/>
        </w:rPr>
        <w:drawing>
          <wp:anchor distT="0" distB="0" distL="114300" distR="114300" simplePos="0" relativeHeight="251658240" behindDoc="1" locked="0" layoutInCell="1" allowOverlap="1" wp14:anchorId="083DE5B2" wp14:editId="49A1800E">
            <wp:simplePos x="0" y="0"/>
            <wp:positionH relativeFrom="margin">
              <wp:posOffset>2869961</wp:posOffset>
            </wp:positionH>
            <wp:positionV relativeFrom="paragraph">
              <wp:posOffset>53124</wp:posOffset>
            </wp:positionV>
            <wp:extent cx="2560320" cy="1845945"/>
            <wp:effectExtent l="0" t="0" r="0" b="1905"/>
            <wp:wrapTight wrapText="bothSides">
              <wp:wrapPolygon edited="0">
                <wp:start x="0" y="0"/>
                <wp:lineTo x="0" y="21399"/>
                <wp:lineTo x="21375" y="21399"/>
                <wp:lineTo x="21375" y="0"/>
                <wp:lineTo x="0" y="0"/>
              </wp:wrapPolygon>
            </wp:wrapTight>
            <wp:docPr id="1946769422" name="Obraz 3" descr="Obraz zawierający logo, Czcionka, Grafika,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769422" name="Obraz 3" descr="Obraz zawierający logo, Czcionka, Grafika, symbol&#10;&#10;Zawartość wygenerowana przez sztuczną inteligencję może być niepopraw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0320" cy="1845945"/>
                    </a:xfrm>
                    <a:prstGeom prst="rect">
                      <a:avLst/>
                    </a:prstGeom>
                    <a:noFill/>
                  </pic:spPr>
                </pic:pic>
              </a:graphicData>
            </a:graphic>
            <wp14:sizeRelH relativeFrom="margin">
              <wp14:pctWidth>0</wp14:pctWidth>
            </wp14:sizeRelH>
            <wp14:sizeRelV relativeFrom="margin">
              <wp14:pctHeight>0</wp14:pctHeight>
            </wp14:sizeRelV>
          </wp:anchor>
        </w:drawing>
      </w:r>
    </w:p>
    <w:p w:rsidR="00056415" w:rsidP="00056415" w:rsidRDefault="00056415" w14:paraId="56D321A8" w14:textId="77777777">
      <w:pPr>
        <w:rPr>
          <w:color w:val="171717" w:themeColor="background2" w:themeShade="1A"/>
          <w:sz w:val="44"/>
          <w:szCs w:val="44"/>
        </w:rPr>
      </w:pPr>
    </w:p>
    <w:p w:rsidR="00056415" w:rsidP="00056415" w:rsidRDefault="00056415" w14:paraId="7CBF1F24" w14:textId="77777777"/>
    <w:p w:rsidR="00056415" w:rsidP="00056415" w:rsidRDefault="00056415" w14:paraId="4B1AA49C" w14:textId="77777777">
      <w:r>
        <w:tab/>
      </w:r>
    </w:p>
    <w:p w:rsidR="00056415" w:rsidP="00056415" w:rsidRDefault="00056415" w14:paraId="5829CA50" w14:textId="77777777"/>
    <w:p w:rsidR="00056415" w:rsidP="00056415" w:rsidRDefault="00056415" w14:paraId="56435081" w14:textId="77777777"/>
    <w:p w:rsidR="00056415" w:rsidP="00056415" w:rsidRDefault="00056415" w14:paraId="6F743ED9" w14:textId="77777777"/>
    <w:p w:rsidR="00056415" w:rsidP="00056415" w:rsidRDefault="00056415" w14:paraId="599C10CD" w14:textId="77777777"/>
    <w:p w:rsidR="00056415" w:rsidP="00056415" w:rsidRDefault="00056415" w14:paraId="533D7FFC" w14:textId="77777777"/>
    <w:p w:rsidR="00056415" w:rsidP="00056415" w:rsidRDefault="00056415" w14:paraId="7963B585" w14:textId="77777777"/>
    <w:p w:rsidR="00056415" w:rsidP="00056415" w:rsidRDefault="00056415" w14:paraId="01379A65" w14:textId="77777777">
      <w:pPr>
        <w:jc w:val="left"/>
        <w:rPr>
          <w:rFonts w:ascii="Arial" w:hAnsi="Arial" w:cs="Arial"/>
          <w:b/>
          <w:bCs/>
          <w:smallCaps/>
          <w:color w:val="171717" w:themeColor="background2" w:themeShade="1A"/>
          <w:sz w:val="52"/>
          <w:szCs w:val="52"/>
        </w:rPr>
      </w:pPr>
    </w:p>
    <w:p w:rsidR="00056415" w:rsidP="00056415" w:rsidRDefault="00056415" w14:paraId="4D2AB788" w14:textId="77777777">
      <w:pPr>
        <w:jc w:val="left"/>
        <w:rPr>
          <w:rFonts w:ascii="Arial" w:hAnsi="Arial" w:cs="Arial"/>
          <w:b/>
          <w:bCs/>
          <w:smallCaps/>
          <w:color w:val="171717" w:themeColor="background2" w:themeShade="1A"/>
          <w:sz w:val="52"/>
          <w:szCs w:val="52"/>
        </w:rPr>
      </w:pPr>
    </w:p>
    <w:p w:rsidR="00056415" w:rsidP="00056415" w:rsidRDefault="00056415" w14:paraId="7ACFC800" w14:textId="77777777">
      <w:pPr>
        <w:jc w:val="left"/>
        <w:rPr>
          <w:rFonts w:ascii="Arial" w:hAnsi="Arial" w:cs="Arial"/>
          <w:b/>
          <w:bCs/>
          <w:smallCaps/>
          <w:color w:val="171717" w:themeColor="background2" w:themeShade="1A"/>
          <w:sz w:val="52"/>
          <w:szCs w:val="52"/>
        </w:rPr>
      </w:pPr>
    </w:p>
    <w:p w:rsidR="00056415" w:rsidP="00056415" w:rsidRDefault="00056415" w14:paraId="1038AD60" w14:textId="77777777">
      <w:pPr>
        <w:jc w:val="left"/>
        <w:rPr>
          <w:rFonts w:ascii="Arial" w:hAnsi="Arial" w:cs="Arial"/>
          <w:b/>
          <w:bCs/>
          <w:smallCaps/>
          <w:color w:val="171717" w:themeColor="background2" w:themeShade="1A"/>
          <w:sz w:val="52"/>
          <w:szCs w:val="52"/>
        </w:rPr>
      </w:pPr>
    </w:p>
    <w:p w:rsidRPr="005C0E39" w:rsidR="00056415" w:rsidP="00056415" w:rsidRDefault="000B4190" w14:paraId="695FFBA3" w14:textId="793A951A">
      <w:pPr>
        <w:jc w:val="left"/>
        <w:rPr>
          <w:rFonts w:ascii="Arial" w:hAnsi="Arial" w:cs="Arial"/>
          <w:b/>
          <w:bCs/>
          <w:smallCaps/>
          <w:color w:val="171717" w:themeColor="background2" w:themeShade="1A"/>
          <w:sz w:val="52"/>
          <w:szCs w:val="52"/>
        </w:rPr>
      </w:pPr>
      <w:r>
        <w:rPr>
          <w:rFonts w:ascii="Arial" w:hAnsi="Arial"/>
          <w:b/>
          <w:smallCaps/>
          <w:color w:val="171717" w:themeColor="background2" w:themeShade="1A"/>
          <w:sz w:val="52"/>
        </w:rPr>
        <w:t>Use case</w:t>
      </w:r>
    </w:p>
    <w:p w:rsidRPr="005C0E39" w:rsidR="00056415" w:rsidP="00056415" w:rsidRDefault="000F4D7F" w14:paraId="22458C29" w14:textId="3BFE743F">
      <w:pPr>
        <w:rPr>
          <w:rFonts w:ascii="Arial" w:hAnsi="Arial" w:cs="Arial"/>
          <w:i/>
          <w:iCs/>
          <w:smallCaps/>
          <w:color w:val="171717" w:themeColor="background2" w:themeShade="1A"/>
          <w:sz w:val="32"/>
          <w:szCs w:val="32"/>
        </w:rPr>
      </w:pPr>
      <w:r>
        <w:rPr>
          <w:rFonts w:ascii="Arial" w:hAnsi="Arial"/>
          <w:i/>
          <w:smallCaps/>
          <w:color w:val="171717" w:themeColor="background2" w:themeShade="1A"/>
          <w:sz w:val="32"/>
        </w:rPr>
        <w:t>Spm – RFI process</w:t>
      </w:r>
    </w:p>
    <w:p w:rsidRPr="005C0E39" w:rsidR="00056415" w:rsidP="00056415" w:rsidRDefault="00056415" w14:paraId="611EC29B" w14:textId="77777777"/>
    <w:p w:rsidRPr="00E52997" w:rsidR="00056415" w:rsidP="0FFA3208" w:rsidRDefault="00056415" w14:paraId="741C999C" w14:textId="1EC52C73">
      <w:pPr>
        <w:rPr>
          <w:rFonts w:ascii="Arial" w:hAnsi="Arial" w:cs="Arial"/>
          <w:i/>
          <w:iCs/>
          <w:smallCaps/>
          <w:color w:val="171717" w:themeColor="background2" w:themeShade="1A"/>
          <w:sz w:val="36"/>
          <w:szCs w:val="36"/>
        </w:rPr>
      </w:pPr>
      <w:r>
        <w:rPr>
          <w:rFonts w:ascii="Arial" w:hAnsi="Arial"/>
          <w:i/>
          <w:smallCaps/>
          <w:color w:val="171717" w:themeColor="background2" w:themeShade="1A"/>
          <w:sz w:val="36"/>
        </w:rPr>
        <w:t xml:space="preserve">- </w:t>
      </w:r>
      <w:r w:rsidRPr="0FFA3208" w:rsidR="00E86063">
        <w:rPr>
          <w:rFonts w:ascii="Arial" w:hAnsi="Arial"/>
          <w:b/>
          <w:bCs/>
          <w:i/>
          <w:iCs/>
          <w:smallCaps/>
          <w:color w:val="171717" w:themeColor="background2" w:themeShade="1A"/>
          <w:sz w:val="36"/>
          <w:szCs w:val="36"/>
        </w:rPr>
        <w:t>preparing the framework for the process</w:t>
      </w:r>
      <w:r>
        <w:rPr>
          <w:rFonts w:ascii="Arial" w:hAnsi="Arial"/>
          <w:i/>
          <w:smallCaps/>
          <w:color w:val="171717" w:themeColor="background2" w:themeShade="1A"/>
          <w:sz w:val="36"/>
        </w:rPr>
        <w:t xml:space="preserve"> of developing </w:t>
      </w:r>
      <w:r>
        <w:rPr>
          <w:b/>
          <w:i/>
          <w:smallCaps/>
          <w:color w:val="171717" w:themeColor="background2" w:themeShade="1A"/>
          <w:sz w:val="36"/>
        </w:rPr>
        <w:t>/ revising</w:t>
      </w:r>
      <w:r>
        <w:rPr>
          <w:rFonts w:ascii="Arial" w:hAnsi="Arial"/>
          <w:i/>
          <w:smallCaps/>
          <w:color w:val="171717" w:themeColor="background2" w:themeShade="1A"/>
          <w:sz w:val="36"/>
        </w:rPr>
        <w:t xml:space="preserve"> the </w:t>
      </w:r>
      <w:r>
        <w:rPr>
          <w:rFonts w:ascii="Arial" w:hAnsi="Arial"/>
          <w:b/>
          <w:i/>
          <w:smallCaps/>
          <w:color w:val="171717" w:themeColor="background2" w:themeShade="1A"/>
          <w:sz w:val="36"/>
        </w:rPr>
        <w:t>corporate</w:t>
      </w:r>
      <w:r>
        <w:rPr>
          <w:rFonts w:ascii="Arial" w:hAnsi="Arial"/>
          <w:i/>
          <w:smallCaps/>
          <w:color w:val="171717" w:themeColor="background2" w:themeShade="1A"/>
          <w:sz w:val="36"/>
        </w:rPr>
        <w:t xml:space="preserve"> strategy-</w:t>
      </w:r>
    </w:p>
    <w:p w:rsidRPr="00E52997" w:rsidR="00F95BD8" w:rsidRDefault="00056415" w14:paraId="09B8B721" w14:textId="77777777">
      <w:pPr>
        <w:jc w:val="left"/>
        <w:rPr>
          <w:rFonts w:asciiTheme="majorHAnsi" w:hAnsiTheme="majorHAnsi" w:eastAsiaTheme="majorEastAsia" w:cstheme="majorBidi"/>
          <w:color w:val="2E74B5" w:themeColor="accent1" w:themeShade="BF"/>
          <w:sz w:val="40"/>
          <w:szCs w:val="40"/>
        </w:rPr>
      </w:pPr>
      <w:r w:rsidRPr="00E52997">
        <w:br w:type="page"/>
      </w:r>
    </w:p>
    <w:sdt>
      <w:sdtPr>
        <w:id w:val="-1535804693"/>
        <w:docPartObj>
          <w:docPartGallery w:val="Table of Contents"/>
          <w:docPartUnique/>
        </w:docPartObj>
        <w:rPr>
          <w:rFonts w:ascii="Aptos" w:hAnsi="Aptos" w:eastAsia="" w:cs="" w:asciiTheme="minorAscii" w:hAnsiTheme="minorAscii" w:eastAsiaTheme="minorEastAsia" w:cstheme="minorBidi"/>
          <w:color w:val="auto"/>
          <w:kern w:val="2"/>
          <w:sz w:val="22"/>
          <w:szCs w:val="22"/>
          <w:lang w:eastAsia="en-US"/>
          <w14:ligatures w14:val="standardContextual"/>
        </w:rPr>
      </w:sdtPr>
      <w:sdtEndPr>
        <w:rPr>
          <w:rFonts w:ascii="Aptos" w:hAnsi="Aptos" w:eastAsia="" w:cs="" w:asciiTheme="minorAscii" w:hAnsiTheme="minorAscii" w:eastAsiaTheme="minorEastAsia" w:cstheme="minorBidi"/>
          <w:b w:val="1"/>
          <w:bCs w:val="1"/>
          <w:color w:val="auto"/>
          <w:sz w:val="24"/>
          <w:szCs w:val="24"/>
          <w:lang w:eastAsia="en-US"/>
        </w:rPr>
      </w:sdtEndPr>
      <w:sdtContent>
        <w:p w:rsidRPr="00F95BD8" w:rsidR="00F95BD8" w:rsidRDefault="00F95BD8" w14:paraId="0E562F01" w14:textId="0D3FE840">
          <w:pPr>
            <w:pStyle w:val="Nagwekspisutreci"/>
            <w:rPr>
              <w:b/>
              <w:bCs/>
              <w:color w:val="auto"/>
              <w:kern w:val="2"/>
              <w:sz w:val="40"/>
              <w:szCs w:val="40"/>
              <w14:ligatures w14:val="standardContextual"/>
            </w:rPr>
          </w:pPr>
          <w:r>
            <w:rPr>
              <w:b/>
              <w:color w:val="auto"/>
              <w:kern w:val="2"/>
              <w:sz w:val="40"/>
            </w:rPr>
            <w:t>Table of contents</w:t>
          </w:r>
        </w:p>
        <w:p w:rsidR="00F95BD8" w:rsidP="00DE5292" w:rsidRDefault="00F95BD8" w14:paraId="6DD19B7C" w14:textId="77777777">
          <w:pPr>
            <w:pStyle w:val="Spistreci1"/>
          </w:pPr>
        </w:p>
        <w:p w:rsidR="00F95BD8" w:rsidP="00DE5292" w:rsidRDefault="00F95BD8" w14:paraId="42C94758" w14:textId="77777777">
          <w:pPr>
            <w:pStyle w:val="Spistreci1"/>
          </w:pPr>
        </w:p>
        <w:p w:rsidR="005F0655" w:rsidP="79C4B93B" w:rsidRDefault="00F95BD8" w14:paraId="0C0323C4" w14:textId="7DC45B9B">
          <w:pPr>
            <w:pStyle w:val="Spistreci1"/>
            <w:rPr>
              <w:rFonts w:ascii="Aptos" w:hAnsi="Aptos" w:eastAsia="" w:cs="" w:asciiTheme="minorAscii" w:hAnsiTheme="minorAscii" w:eastAsiaTheme="minorEastAsia" w:cstheme="minorBidi"/>
              <w:lang w:val="pl-PL" w:eastAsia="pl-PL"/>
            </w:rPr>
          </w:pPr>
          <w:r w:rsidRPr="00F95BD8">
            <w:fldChar w:fldCharType="begin"/>
          </w:r>
          <w:r>
            <w:instrText>TOC \o "1-3" \z \u \h</w:instrText>
          </w:r>
          <w:r w:rsidRPr="00F95BD8">
            <w:fldChar w:fldCharType="separate"/>
          </w:r>
          <w:r>
            <w:fldChar w:fldCharType="begin"/>
          </w:r>
          <w:r>
            <w:instrText xml:space="preserve">HYPERLINK  \l "_Toc235774436"</w:instrText>
          </w:r>
          <w:r>
            <w:fldChar w:fldCharType="separate"/>
          </w:r>
          <w:r w:rsidRPr="79C4B93B" w:rsidR="005F0655">
            <w:rPr>
              <w:rStyle w:val="Hipercze"/>
              <w:b w:val="1"/>
              <w:bCs w:val="1"/>
            </w:rPr>
            <w:t>Introduction</w:t>
          </w:r>
          <w:r w:rsidR="005F0655">
            <w:rPr>
              <w:webHidden/>
            </w:rPr>
            <w:tab/>
          </w:r>
          <w:r w:rsidR="005F0655">
            <w:rPr>
              <w:webHidden/>
            </w:rPr>
            <w:fldChar w:fldCharType="begin"/>
          </w:r>
          <w:r w:rsidR="005F0655">
            <w:rPr>
              <w:webHidden/>
            </w:rPr>
            <w:instrText xml:space="preserve"> PAGEREF _Toc235774436 \h </w:instrText>
          </w:r>
          <w:r w:rsidR="005F0655">
            <w:rPr>
              <w:webHidden/>
            </w:rPr>
          </w:r>
          <w:r w:rsidR="005F0655">
            <w:rPr>
              <w:webHidden/>
            </w:rPr>
            <w:fldChar w:fldCharType="separate"/>
          </w:r>
          <w:r w:rsidR="005F0655">
            <w:rPr>
              <w:webHidden/>
            </w:rPr>
            <w:t>3</w:t>
          </w:r>
          <w:r w:rsidR="005F0655">
            <w:rPr>
              <w:webHidden/>
            </w:rPr>
            <w:fldChar w:fldCharType="end"/>
          </w:r>
          <w:r>
            <w:fldChar w:fldCharType="end"/>
          </w:r>
        </w:p>
        <w:p w:rsidRPr="005F0655" w:rsidR="005F0655" w:rsidRDefault="005F0655" w14:paraId="6F7FCB79" w14:textId="71AD8A71">
          <w:pPr>
            <w:pStyle w:val="Spistreci1"/>
            <w:rPr>
              <w:rFonts w:asciiTheme="minorHAnsi" w:hAnsiTheme="minorHAnsi" w:eastAsiaTheme="minorEastAsia" w:cstheme="minorBidi"/>
              <w:sz w:val="22"/>
              <w:szCs w:val="22"/>
              <w:lang w:val="pl-PL" w:eastAsia="pl-PL"/>
            </w:rPr>
          </w:pPr>
          <w:hyperlink w:history="1" w:anchor="_Toc235774437">
            <w:r w:rsidRPr="005F0655">
              <w:rPr>
                <w:rStyle w:val="Hipercze"/>
                <w:sz w:val="22"/>
                <w:szCs w:val="22"/>
              </w:rPr>
              <w:t>1.</w:t>
            </w:r>
            <w:r w:rsidRPr="005F0655">
              <w:rPr>
                <w:rFonts w:asciiTheme="minorHAnsi" w:hAnsiTheme="minorHAnsi" w:eastAsiaTheme="minorEastAsia" w:cstheme="minorBidi"/>
                <w:sz w:val="22"/>
                <w:szCs w:val="22"/>
                <w:lang w:val="pl-PL" w:eastAsia="pl-PL"/>
              </w:rPr>
              <w:tab/>
            </w:r>
            <w:r w:rsidRPr="005F0655">
              <w:rPr>
                <w:rStyle w:val="Hipercze"/>
                <w:sz w:val="22"/>
                <w:szCs w:val="22"/>
              </w:rPr>
              <w:t>Functionalities verified on the basis of a presentation of the solution without the ORLEN use case framework</w:t>
            </w:r>
            <w:r w:rsidRPr="005F0655">
              <w:rPr>
                <w:webHidden/>
                <w:sz w:val="22"/>
                <w:szCs w:val="22"/>
              </w:rPr>
              <w:tab/>
            </w:r>
            <w:r w:rsidRPr="005F0655">
              <w:rPr>
                <w:webHidden/>
                <w:sz w:val="22"/>
                <w:szCs w:val="22"/>
              </w:rPr>
              <w:fldChar w:fldCharType="begin"/>
            </w:r>
            <w:r w:rsidRPr="005F0655">
              <w:rPr>
                <w:webHidden/>
                <w:sz w:val="22"/>
                <w:szCs w:val="22"/>
              </w:rPr>
              <w:instrText xml:space="preserve"> PAGEREF _Toc235774437 \h </w:instrText>
            </w:r>
            <w:r w:rsidRPr="005F0655">
              <w:rPr>
                <w:webHidden/>
                <w:sz w:val="22"/>
                <w:szCs w:val="22"/>
              </w:rPr>
            </w:r>
            <w:r w:rsidRPr="005F0655">
              <w:rPr>
                <w:webHidden/>
                <w:sz w:val="22"/>
                <w:szCs w:val="22"/>
              </w:rPr>
              <w:fldChar w:fldCharType="separate"/>
            </w:r>
            <w:r w:rsidRPr="005F0655">
              <w:rPr>
                <w:webHidden/>
                <w:sz w:val="22"/>
                <w:szCs w:val="22"/>
              </w:rPr>
              <w:t>4</w:t>
            </w:r>
            <w:r w:rsidRPr="005F0655">
              <w:rPr>
                <w:webHidden/>
                <w:sz w:val="22"/>
                <w:szCs w:val="22"/>
              </w:rPr>
              <w:fldChar w:fldCharType="end"/>
            </w:r>
          </w:hyperlink>
        </w:p>
        <w:p w:rsidRPr="005F0655" w:rsidR="005F0655" w:rsidRDefault="005F0655" w14:paraId="14ADE6C8" w14:textId="380A709C">
          <w:pPr>
            <w:pStyle w:val="Spistreci1"/>
            <w:rPr>
              <w:rFonts w:asciiTheme="minorHAnsi" w:hAnsiTheme="minorHAnsi" w:eastAsiaTheme="minorEastAsia" w:cstheme="minorBidi"/>
              <w:sz w:val="22"/>
              <w:szCs w:val="22"/>
              <w:lang w:val="pl-PL" w:eastAsia="pl-PL"/>
            </w:rPr>
          </w:pPr>
          <w:hyperlink w:history="1" w:anchor="_Toc235774438">
            <w:r w:rsidRPr="005F0655">
              <w:rPr>
                <w:rStyle w:val="Hipercze"/>
                <w:sz w:val="22"/>
                <w:szCs w:val="22"/>
              </w:rPr>
              <w:t>2.</w:t>
            </w:r>
            <w:r w:rsidRPr="005F0655">
              <w:rPr>
                <w:rFonts w:asciiTheme="minorHAnsi" w:hAnsiTheme="minorHAnsi" w:eastAsiaTheme="minorEastAsia" w:cstheme="minorBidi"/>
                <w:sz w:val="22"/>
                <w:szCs w:val="22"/>
                <w:lang w:val="pl-PL" w:eastAsia="pl-PL"/>
              </w:rPr>
              <w:tab/>
            </w:r>
            <w:r w:rsidRPr="005F0655">
              <w:rPr>
                <w:rStyle w:val="Hipercze"/>
                <w:sz w:val="22"/>
                <w:szCs w:val="22"/>
              </w:rPr>
              <w:t>Functionalities verified on the basis of a presentation of the solution within the ORLEN use case framework</w:t>
            </w:r>
            <w:r w:rsidRPr="005F0655">
              <w:rPr>
                <w:webHidden/>
                <w:sz w:val="22"/>
                <w:szCs w:val="22"/>
              </w:rPr>
              <w:tab/>
            </w:r>
            <w:r w:rsidRPr="005F0655">
              <w:rPr>
                <w:webHidden/>
                <w:sz w:val="22"/>
                <w:szCs w:val="22"/>
              </w:rPr>
              <w:fldChar w:fldCharType="begin"/>
            </w:r>
            <w:r w:rsidRPr="005F0655">
              <w:rPr>
                <w:webHidden/>
                <w:sz w:val="22"/>
                <w:szCs w:val="22"/>
              </w:rPr>
              <w:instrText xml:space="preserve"> PAGEREF _Toc235774438 \h </w:instrText>
            </w:r>
            <w:r w:rsidRPr="005F0655">
              <w:rPr>
                <w:webHidden/>
                <w:sz w:val="22"/>
                <w:szCs w:val="22"/>
              </w:rPr>
            </w:r>
            <w:r w:rsidRPr="005F0655">
              <w:rPr>
                <w:webHidden/>
                <w:sz w:val="22"/>
                <w:szCs w:val="22"/>
              </w:rPr>
              <w:fldChar w:fldCharType="separate"/>
            </w:r>
            <w:r w:rsidRPr="005F0655">
              <w:rPr>
                <w:webHidden/>
                <w:sz w:val="22"/>
                <w:szCs w:val="22"/>
              </w:rPr>
              <w:t>5</w:t>
            </w:r>
            <w:r w:rsidRPr="005F0655">
              <w:rPr>
                <w:webHidden/>
                <w:sz w:val="22"/>
                <w:szCs w:val="22"/>
              </w:rPr>
              <w:fldChar w:fldCharType="end"/>
            </w:r>
          </w:hyperlink>
        </w:p>
        <w:p w:rsidRPr="005F0655" w:rsidR="005F0655" w:rsidRDefault="005F0655" w14:paraId="6E7B4A04" w14:textId="1A4C31D8">
          <w:pPr>
            <w:pStyle w:val="Spistreci1"/>
            <w:rPr>
              <w:rFonts w:asciiTheme="minorHAnsi" w:hAnsiTheme="minorHAnsi" w:eastAsiaTheme="minorEastAsia" w:cstheme="minorBidi"/>
              <w:sz w:val="22"/>
              <w:szCs w:val="22"/>
              <w:lang w:val="pl-PL" w:eastAsia="pl-PL"/>
            </w:rPr>
          </w:pPr>
          <w:hyperlink w:history="1" w:anchor="_Toc235774439">
            <w:r w:rsidRPr="005F0655">
              <w:rPr>
                <w:rStyle w:val="Hipercze"/>
                <w:sz w:val="22"/>
                <w:szCs w:val="22"/>
              </w:rPr>
              <w:t>Use case 1 – Developing the framework for a corporate strategy</w:t>
            </w:r>
            <w:r w:rsidRPr="005F0655">
              <w:rPr>
                <w:webHidden/>
                <w:sz w:val="22"/>
                <w:szCs w:val="22"/>
              </w:rPr>
              <w:tab/>
            </w:r>
            <w:r w:rsidRPr="005F0655">
              <w:rPr>
                <w:webHidden/>
                <w:sz w:val="22"/>
                <w:szCs w:val="22"/>
              </w:rPr>
              <w:fldChar w:fldCharType="begin"/>
            </w:r>
            <w:r w:rsidRPr="005F0655">
              <w:rPr>
                <w:webHidden/>
                <w:sz w:val="22"/>
                <w:szCs w:val="22"/>
              </w:rPr>
              <w:instrText xml:space="preserve"> PAGEREF _Toc235774439 \h </w:instrText>
            </w:r>
            <w:r w:rsidRPr="005F0655">
              <w:rPr>
                <w:webHidden/>
                <w:sz w:val="22"/>
                <w:szCs w:val="22"/>
              </w:rPr>
            </w:r>
            <w:r w:rsidRPr="005F0655">
              <w:rPr>
                <w:webHidden/>
                <w:sz w:val="22"/>
                <w:szCs w:val="22"/>
              </w:rPr>
              <w:fldChar w:fldCharType="separate"/>
            </w:r>
            <w:r w:rsidRPr="005F0655">
              <w:rPr>
                <w:webHidden/>
                <w:sz w:val="22"/>
                <w:szCs w:val="22"/>
              </w:rPr>
              <w:t>5</w:t>
            </w:r>
            <w:r w:rsidRPr="005F0655">
              <w:rPr>
                <w:webHidden/>
                <w:sz w:val="22"/>
                <w:szCs w:val="22"/>
              </w:rPr>
              <w:fldChar w:fldCharType="end"/>
            </w:r>
          </w:hyperlink>
        </w:p>
        <w:p w:rsidRPr="005F0655" w:rsidR="005F0655" w:rsidRDefault="005F0655" w14:paraId="0AD3609C" w14:textId="2445EB59">
          <w:pPr>
            <w:pStyle w:val="Spistreci1"/>
            <w:rPr>
              <w:rFonts w:asciiTheme="minorHAnsi" w:hAnsiTheme="minorHAnsi" w:eastAsiaTheme="minorEastAsia" w:cstheme="minorBidi"/>
              <w:sz w:val="22"/>
              <w:szCs w:val="22"/>
              <w:lang w:val="pl-PL" w:eastAsia="pl-PL"/>
            </w:rPr>
          </w:pPr>
          <w:hyperlink w:history="1" w:anchor="_Toc235774440">
            <w:r w:rsidRPr="005F0655">
              <w:rPr>
                <w:rStyle w:val="Hipercze"/>
                <w:sz w:val="22"/>
                <w:szCs w:val="22"/>
              </w:rPr>
              <w:t>Use Case Specification</w:t>
            </w:r>
            <w:r w:rsidRPr="005F0655">
              <w:rPr>
                <w:webHidden/>
                <w:sz w:val="22"/>
                <w:szCs w:val="22"/>
              </w:rPr>
              <w:tab/>
            </w:r>
            <w:r w:rsidRPr="005F0655">
              <w:rPr>
                <w:webHidden/>
                <w:sz w:val="22"/>
                <w:szCs w:val="22"/>
              </w:rPr>
              <w:fldChar w:fldCharType="begin"/>
            </w:r>
            <w:r w:rsidRPr="005F0655">
              <w:rPr>
                <w:webHidden/>
                <w:sz w:val="22"/>
                <w:szCs w:val="22"/>
              </w:rPr>
              <w:instrText xml:space="preserve"> PAGEREF _Toc235774440 \h </w:instrText>
            </w:r>
            <w:r w:rsidRPr="005F0655">
              <w:rPr>
                <w:webHidden/>
                <w:sz w:val="22"/>
                <w:szCs w:val="22"/>
              </w:rPr>
            </w:r>
            <w:r w:rsidRPr="005F0655">
              <w:rPr>
                <w:webHidden/>
                <w:sz w:val="22"/>
                <w:szCs w:val="22"/>
              </w:rPr>
              <w:fldChar w:fldCharType="separate"/>
            </w:r>
            <w:r w:rsidRPr="005F0655">
              <w:rPr>
                <w:webHidden/>
                <w:sz w:val="22"/>
                <w:szCs w:val="22"/>
              </w:rPr>
              <w:t>5</w:t>
            </w:r>
            <w:r w:rsidRPr="005F0655">
              <w:rPr>
                <w:webHidden/>
                <w:sz w:val="22"/>
                <w:szCs w:val="22"/>
              </w:rPr>
              <w:fldChar w:fldCharType="end"/>
            </w:r>
          </w:hyperlink>
        </w:p>
        <w:p w:rsidRPr="005F0655" w:rsidR="005F0655" w:rsidRDefault="005F0655" w14:paraId="6A2DFC8A" w14:textId="44A861D4">
          <w:pPr>
            <w:pStyle w:val="Spistreci1"/>
            <w:rPr>
              <w:rFonts w:asciiTheme="minorHAnsi" w:hAnsiTheme="minorHAnsi" w:eastAsiaTheme="minorEastAsia" w:cstheme="minorBidi"/>
              <w:sz w:val="22"/>
              <w:szCs w:val="22"/>
              <w:lang w:val="pl-PL" w:eastAsia="pl-PL"/>
            </w:rPr>
          </w:pPr>
          <w:hyperlink w:history="1" w:anchor="_Toc235774441">
            <w:r w:rsidRPr="005F0655">
              <w:rPr>
                <w:rStyle w:val="Hipercze"/>
                <w:sz w:val="22"/>
                <w:szCs w:val="22"/>
              </w:rPr>
              <w:t>1.1.1.</w:t>
            </w:r>
            <w:r w:rsidRPr="005F0655">
              <w:rPr>
                <w:rFonts w:asciiTheme="minorHAnsi" w:hAnsiTheme="minorHAnsi" w:eastAsiaTheme="minorEastAsia" w:cstheme="minorBidi"/>
                <w:sz w:val="22"/>
                <w:szCs w:val="22"/>
                <w:lang w:val="pl-PL" w:eastAsia="pl-PL"/>
              </w:rPr>
              <w:tab/>
            </w:r>
            <w:r w:rsidRPr="005F0655">
              <w:rPr>
                <w:rStyle w:val="Hipercze"/>
                <w:sz w:val="22"/>
                <w:szCs w:val="22"/>
              </w:rPr>
              <w:t>Use case description</w:t>
            </w:r>
            <w:r w:rsidRPr="005F0655">
              <w:rPr>
                <w:webHidden/>
                <w:sz w:val="22"/>
                <w:szCs w:val="22"/>
              </w:rPr>
              <w:tab/>
            </w:r>
            <w:r w:rsidRPr="005F0655">
              <w:rPr>
                <w:webHidden/>
                <w:sz w:val="22"/>
                <w:szCs w:val="22"/>
              </w:rPr>
              <w:fldChar w:fldCharType="begin"/>
            </w:r>
            <w:r w:rsidRPr="005F0655">
              <w:rPr>
                <w:webHidden/>
                <w:sz w:val="22"/>
                <w:szCs w:val="22"/>
              </w:rPr>
              <w:instrText xml:space="preserve"> PAGEREF _Toc235774441 \h </w:instrText>
            </w:r>
            <w:r w:rsidRPr="005F0655">
              <w:rPr>
                <w:webHidden/>
                <w:sz w:val="22"/>
                <w:szCs w:val="22"/>
              </w:rPr>
            </w:r>
            <w:r w:rsidRPr="005F0655">
              <w:rPr>
                <w:webHidden/>
                <w:sz w:val="22"/>
                <w:szCs w:val="22"/>
              </w:rPr>
              <w:fldChar w:fldCharType="separate"/>
            </w:r>
            <w:r w:rsidRPr="005F0655">
              <w:rPr>
                <w:webHidden/>
                <w:sz w:val="22"/>
                <w:szCs w:val="22"/>
              </w:rPr>
              <w:t>8</w:t>
            </w:r>
            <w:r w:rsidRPr="005F0655">
              <w:rPr>
                <w:webHidden/>
                <w:sz w:val="22"/>
                <w:szCs w:val="22"/>
              </w:rPr>
              <w:fldChar w:fldCharType="end"/>
            </w:r>
          </w:hyperlink>
        </w:p>
        <w:p w:rsidRPr="005F0655" w:rsidR="005F0655" w:rsidRDefault="005F0655" w14:paraId="013E18FF" w14:textId="324BDF5A">
          <w:pPr>
            <w:pStyle w:val="Spistreci1"/>
            <w:rPr>
              <w:rFonts w:asciiTheme="minorHAnsi" w:hAnsiTheme="minorHAnsi" w:eastAsiaTheme="minorEastAsia" w:cstheme="minorBidi"/>
              <w:sz w:val="22"/>
              <w:szCs w:val="22"/>
              <w:lang w:val="pl-PL" w:eastAsia="pl-PL"/>
            </w:rPr>
          </w:pPr>
          <w:hyperlink w:history="1" w:anchor="_Toc235774442">
            <w:r w:rsidRPr="005F0655">
              <w:rPr>
                <w:rStyle w:val="Hipercze"/>
                <w:sz w:val="22"/>
                <w:szCs w:val="22"/>
              </w:rPr>
              <w:t>1.1.2.</w:t>
            </w:r>
            <w:r w:rsidRPr="005F0655">
              <w:rPr>
                <w:rFonts w:asciiTheme="minorHAnsi" w:hAnsiTheme="minorHAnsi" w:eastAsiaTheme="minorEastAsia" w:cstheme="minorBidi"/>
                <w:sz w:val="22"/>
                <w:szCs w:val="22"/>
                <w:lang w:val="pl-PL" w:eastAsia="pl-PL"/>
              </w:rPr>
              <w:tab/>
            </w:r>
            <w:r w:rsidRPr="005F0655">
              <w:rPr>
                <w:rStyle w:val="Hipercze"/>
                <w:sz w:val="22"/>
                <w:szCs w:val="22"/>
              </w:rPr>
              <w:t>How the functionality is presented</w:t>
            </w:r>
            <w:r w:rsidRPr="005F0655">
              <w:rPr>
                <w:webHidden/>
                <w:sz w:val="22"/>
                <w:szCs w:val="22"/>
              </w:rPr>
              <w:tab/>
            </w:r>
            <w:r w:rsidRPr="005F0655">
              <w:rPr>
                <w:webHidden/>
                <w:sz w:val="22"/>
                <w:szCs w:val="22"/>
              </w:rPr>
              <w:fldChar w:fldCharType="begin"/>
            </w:r>
            <w:r w:rsidRPr="005F0655">
              <w:rPr>
                <w:webHidden/>
                <w:sz w:val="22"/>
                <w:szCs w:val="22"/>
              </w:rPr>
              <w:instrText xml:space="preserve"> PAGEREF _Toc235774442 \h </w:instrText>
            </w:r>
            <w:r w:rsidRPr="005F0655">
              <w:rPr>
                <w:webHidden/>
                <w:sz w:val="22"/>
                <w:szCs w:val="22"/>
              </w:rPr>
            </w:r>
            <w:r w:rsidRPr="005F0655">
              <w:rPr>
                <w:webHidden/>
                <w:sz w:val="22"/>
                <w:szCs w:val="22"/>
              </w:rPr>
              <w:fldChar w:fldCharType="separate"/>
            </w:r>
            <w:r w:rsidRPr="005F0655">
              <w:rPr>
                <w:webHidden/>
                <w:sz w:val="22"/>
                <w:szCs w:val="22"/>
              </w:rPr>
              <w:t>8</w:t>
            </w:r>
            <w:r w:rsidRPr="005F0655">
              <w:rPr>
                <w:webHidden/>
                <w:sz w:val="22"/>
                <w:szCs w:val="22"/>
              </w:rPr>
              <w:fldChar w:fldCharType="end"/>
            </w:r>
          </w:hyperlink>
        </w:p>
        <w:p w:rsidR="00F95BD8" w:rsidRDefault="00F95BD8" w14:paraId="1B55EDD1" w14:textId="4651A077">
          <w:r w:rsidRPr="79C4B93B">
            <w:rPr>
              <w:rFonts w:ascii="Arial" w:hAnsi="Arial" w:cs="Arial"/>
              <w:b w:val="1"/>
              <w:bCs w:val="1"/>
              <w:sz w:val="24"/>
              <w:szCs w:val="24"/>
            </w:rPr>
            <w:fldChar w:fldCharType="end"/>
          </w:r>
        </w:p>
      </w:sdtContent>
    </w:sdt>
    <w:p w:rsidR="00FA0477" w:rsidRDefault="00FA0477" w14:paraId="059E2E69" w14:textId="6C2605C8">
      <w:pPr>
        <w:jc w:val="left"/>
        <w:rPr>
          <w:rFonts w:asciiTheme="majorHAnsi" w:hAnsiTheme="majorHAnsi" w:eastAsiaTheme="majorEastAsia" w:cstheme="majorBidi"/>
          <w:color w:val="2E74B5" w:themeColor="accent1" w:themeShade="BF"/>
          <w:sz w:val="40"/>
          <w:szCs w:val="40"/>
        </w:rPr>
      </w:pPr>
      <w:r>
        <w:br w:type="page"/>
      </w:r>
    </w:p>
    <w:p w:rsidRPr="005C0E39" w:rsidR="00FA0477" w:rsidP="00FA0477" w:rsidRDefault="00FA0477" w14:paraId="10108F88" w14:textId="62D7A33C">
      <w:pPr>
        <w:pStyle w:val="Nagwek1"/>
        <w:rPr>
          <w:b/>
          <w:bCs/>
          <w:color w:val="auto"/>
        </w:rPr>
      </w:pPr>
      <w:bookmarkStart w:name="_Toc235774436" w:id="1"/>
      <w:r>
        <w:rPr>
          <w:b/>
          <w:color w:val="auto"/>
        </w:rPr>
        <w:lastRenderedPageBreak/>
        <w:t>Introduction</w:t>
      </w:r>
      <w:bookmarkEnd w:id="1"/>
      <w:r>
        <w:rPr>
          <w:b/>
          <w:color w:val="auto"/>
        </w:rPr>
        <w:t xml:space="preserve"> </w:t>
      </w:r>
    </w:p>
    <w:p w:rsidRPr="00D43D54" w:rsidR="00D43D54" w:rsidP="00D43D54" w:rsidRDefault="00D43D54" w14:paraId="62671019" w14:textId="513F255E">
      <w:r>
        <w:t xml:space="preserve">The aim of this Use Case is to verify the functionality of an </w:t>
      </w:r>
      <w:r w:rsidRPr="0FFA3208">
        <w:rPr>
          <w:b/>
          <w:bCs/>
        </w:rPr>
        <w:t>EPM class (Enterprise Performance Management)</w:t>
      </w:r>
      <w:r>
        <w:t xml:space="preserve"> system, which incorporates selected functionalities of an </w:t>
      </w:r>
      <w:r w:rsidRPr="0FFA3208">
        <w:rPr>
          <w:b/>
          <w:bCs/>
        </w:rPr>
        <w:t>SPM class (Strategic Performance Management)</w:t>
      </w:r>
      <w:r>
        <w:t xml:space="preserve"> system, in the process of developing the input assumptions for the ORLEN Group’s corporate strategy or in the process of updating it.</w:t>
      </w:r>
    </w:p>
    <w:p w:rsidRPr="00D43D54" w:rsidR="00D43D54" w:rsidP="00D43D54" w:rsidRDefault="00D43D54" w14:paraId="26E17C1B" w14:textId="77777777">
      <w:r>
        <w:t>The process is based on the findings from:</w:t>
      </w:r>
    </w:p>
    <w:p w:rsidRPr="00D43D54" w:rsidR="00D43D54" w:rsidP="00D43D54" w:rsidRDefault="00D43D54" w14:paraId="3362D64D" w14:textId="77777777">
      <w:pPr>
        <w:numPr>
          <w:ilvl w:val="0"/>
          <w:numId w:val="5"/>
        </w:numPr>
      </w:pPr>
      <w:r>
        <w:t>monitoring corporate strategy,</w:t>
      </w:r>
    </w:p>
    <w:p w:rsidRPr="00D43D54" w:rsidR="00D43D54" w:rsidP="00D43D54" w:rsidRDefault="00D43D54" w14:paraId="71C40E2E" w14:textId="77777777">
      <w:pPr>
        <w:numPr>
          <w:ilvl w:val="0"/>
          <w:numId w:val="5"/>
        </w:numPr>
      </w:pPr>
      <w:r>
        <w:t>monitoring of strategic programmes and initiatives,</w:t>
      </w:r>
    </w:p>
    <w:p w:rsidRPr="00D43D54" w:rsidR="00D43D54" w:rsidP="00D43D54" w:rsidRDefault="00D43D54" w14:paraId="0960DC1F" w14:textId="77777777">
      <w:pPr>
        <w:numPr>
          <w:ilvl w:val="0"/>
          <w:numId w:val="5"/>
        </w:numPr>
      </w:pPr>
      <w:r>
        <w:t>monitoring of strategic projects,</w:t>
      </w:r>
    </w:p>
    <w:p w:rsidR="292F98FB" w:rsidP="0FFA3208" w:rsidRDefault="292F98FB" w14:paraId="1A2FB704" w14:textId="53828717">
      <w:pPr>
        <w:numPr>
          <w:ilvl w:val="0"/>
          <w:numId w:val="5"/>
        </w:numPr>
      </w:pPr>
      <w:r>
        <w:t>An overview derived from the strategic intelligence function and the decision-support model (monitoring of the operating environment, competition, regulations, macroeconomics, ESG and geopolitics, as well as a built-in early-warning system for assessing the impact of external events, evaluating risks and opportunities, and determining their impact on the implementation of strategic initiatives).</w:t>
      </w:r>
    </w:p>
    <w:p w:rsidRPr="00D43D54" w:rsidR="00D43D54" w:rsidP="00D43D54" w:rsidRDefault="00D43D54" w14:paraId="63E949D5" w14:textId="77777777">
      <w:pPr>
        <w:numPr>
          <w:ilvl w:val="0"/>
          <w:numId w:val="5"/>
        </w:numPr>
      </w:pPr>
      <w:r>
        <w:t>strategic hypotheses,</w:t>
      </w:r>
    </w:p>
    <w:p w:rsidRPr="00D43D54" w:rsidR="00D43D54" w:rsidP="00D43D54" w:rsidRDefault="00D43D54" w14:paraId="07C24F8B" w14:textId="2489B502">
      <w:pPr>
        <w:numPr>
          <w:ilvl w:val="0"/>
          <w:numId w:val="5"/>
        </w:numPr>
      </w:pPr>
      <w:r>
        <w:t>stakeholders’ expectations, supported by a strategic roadmap setting out the company’s strategic choices (responses to key assumptions and strategic scenarios).</w:t>
      </w:r>
    </w:p>
    <w:p w:rsidRPr="00D43D54" w:rsidR="00D43D54" w:rsidP="00D43D54" w:rsidRDefault="00D43D54" w14:paraId="44722ED5" w14:textId="77777777">
      <w:r>
        <w:rPr>
          <w:b/>
        </w:rPr>
        <w:t>The analysis covers:</w:t>
      </w:r>
    </w:p>
    <w:p w:rsidRPr="00D43D54" w:rsidR="00D43D54" w:rsidP="00D43D54" w:rsidRDefault="00D43D54" w14:paraId="6B7B8914" w14:textId="77777777">
      <w:pPr>
        <w:numPr>
          <w:ilvl w:val="0"/>
          <w:numId w:val="6"/>
        </w:numPr>
      </w:pPr>
      <w:r>
        <w:t>support for the stages of formulating objectives, modelling scenarios, defining development directions, and drawing up a strategic plan,</w:t>
      </w:r>
    </w:p>
    <w:p w:rsidRPr="00D43D54" w:rsidR="00D43D54" w:rsidP="00D43D54" w:rsidRDefault="00D43D54" w14:paraId="7D46AD16" w14:textId="77777777">
      <w:pPr>
        <w:numPr>
          <w:ilvl w:val="0"/>
          <w:numId w:val="6"/>
        </w:numPr>
      </w:pPr>
      <w:r>
        <w:t>integration with the processes for monitoring the implementation of the ORLEN 2035 strategy, including reporting on KPIs, risks and the status of strategic projects, as well as the results of the monitoring process for strategic programmes and initiatives,</w:t>
      </w:r>
    </w:p>
    <w:p w:rsidRPr="00D43D54" w:rsidR="00D43D54" w:rsidP="00D43D54" w:rsidRDefault="00D43D54" w14:paraId="1B6B29B1" w14:textId="77777777">
      <w:pPr>
        <w:numPr>
          <w:ilvl w:val="0"/>
          <w:numId w:val="6"/>
        </w:numPr>
      </w:pPr>
      <w:r>
        <w:t>integration with reports on strategic hypotheses and stakeholder expectations.</w:t>
      </w:r>
    </w:p>
    <w:p w:rsidRPr="00D43D54" w:rsidR="00D43D54" w:rsidP="00D43D54" w:rsidRDefault="00D43D54" w14:paraId="792B3926" w14:textId="7C3FF0B1">
      <w:r>
        <w:rPr>
          <w:b/>
        </w:rPr>
        <w:t>Key input data is derived from processes [managed by the PPM system]:</w:t>
      </w:r>
    </w:p>
    <w:p w:rsidRPr="00D43D54" w:rsidR="00D43D54" w:rsidP="00D43D54" w:rsidRDefault="00D43D54" w14:paraId="0A3C5C72" w14:textId="33F435F7">
      <w:pPr>
        <w:numPr>
          <w:ilvl w:val="0"/>
          <w:numId w:val="7"/>
        </w:numPr>
      </w:pPr>
      <w:r>
        <w:rPr>
          <w:b/>
        </w:rPr>
        <w:t>A.2.1.1</w:t>
      </w:r>
      <w:r>
        <w:t xml:space="preserve"> Development of strategic hypotheses (gathering ‘state of play’ assumptions, formulating strategic hypotheses, testing strategic hypotheses, presenting recommendations) </w:t>
      </w:r>
    </w:p>
    <w:p w:rsidRPr="00D43D54" w:rsidR="00D43D54" w:rsidP="00D43D54" w:rsidRDefault="00D43D54" w14:paraId="48B33BC8" w14:textId="51CEE94A">
      <w:pPr>
        <w:numPr>
          <w:ilvl w:val="0"/>
          <w:numId w:val="7"/>
        </w:numPr>
      </w:pPr>
      <w:r>
        <w:rPr>
          <w:b/>
        </w:rPr>
        <w:t xml:space="preserve">A.2.1.2 Drawing up </w:t>
      </w:r>
      <w:r>
        <w:t>conclusions from the analysis of stakeholder expectations (including investors, market analysts and regulators)</w:t>
      </w:r>
    </w:p>
    <w:p w:rsidRPr="00D43D54" w:rsidR="00D43D54" w:rsidP="00D43D54" w:rsidRDefault="00D43D54" w14:paraId="1F09549B" w14:textId="513634C0">
      <w:pPr>
        <w:numPr>
          <w:ilvl w:val="0"/>
          <w:numId w:val="7"/>
        </w:numPr>
      </w:pPr>
      <w:r>
        <w:rPr>
          <w:b/>
        </w:rPr>
        <w:t xml:space="preserve">A.2.1.3 Drawing up </w:t>
      </w:r>
      <w:r>
        <w:t>conclusions from G1.1. Strategic analysis of the external environment (in the form of analyses of, amongst other things, geopolitical, macroeconomic, market and regulatory trends) – including the performance of the following functions: strategic intelligence and a decision-support model (monitoring of the environment, competition, regulations, macroeconomics, ESG and geopolitics, as well as a built-in early warning system to assess the impact of external events, evaluate risks and opportunities, and determine their impact on the implementation of strategic initiatives).</w:t>
      </w:r>
    </w:p>
    <w:p w:rsidRPr="00D43D54" w:rsidR="00D43D54" w:rsidP="00D43D54" w:rsidRDefault="00D43D54" w14:paraId="43FF75D5" w14:textId="77777777">
      <w:pPr>
        <w:numPr>
          <w:ilvl w:val="0"/>
          <w:numId w:val="7"/>
        </w:numPr>
      </w:pPr>
      <w:r>
        <w:rPr>
          <w:b/>
        </w:rPr>
        <w:t xml:space="preserve">A.2.1.4 </w:t>
      </w:r>
      <w:r w:rsidRPr="00D43D54">
        <w:t>Drawing up conclusions from G1.2. Monitoring of strategic objectives,</w:t>
      </w:r>
    </w:p>
    <w:p w:rsidRPr="00D43D54" w:rsidR="00D43D54" w:rsidP="00D43D54" w:rsidRDefault="00D43D54" w14:paraId="3A5836B5" w14:textId="77777777">
      <w:pPr>
        <w:numPr>
          <w:ilvl w:val="0"/>
          <w:numId w:val="7"/>
        </w:numPr>
      </w:pPr>
      <w:r>
        <w:rPr>
          <w:b/>
        </w:rPr>
        <w:lastRenderedPageBreak/>
        <w:t xml:space="preserve">A.2.1.5 </w:t>
      </w:r>
      <w:r w:rsidRPr="00D43D54">
        <w:t>Drawing up conclusions from G1.3. Monitoring of strategic programmes and initiatives,</w:t>
      </w:r>
    </w:p>
    <w:p w:rsidRPr="00D43D54" w:rsidR="00D43D54" w:rsidP="00D43D54" w:rsidRDefault="00D43D54" w14:paraId="65379EC9" w14:textId="77777777">
      <w:pPr>
        <w:numPr>
          <w:ilvl w:val="0"/>
          <w:numId w:val="7"/>
        </w:numPr>
      </w:pPr>
      <w:r>
        <w:rPr>
          <w:b/>
        </w:rPr>
        <w:t xml:space="preserve">A.2.1.6 Drawing up </w:t>
      </w:r>
      <w:r w:rsidRPr="00D43D54">
        <w:t>conclusions from G1.4. Monitoring of strategic projects,</w:t>
      </w:r>
    </w:p>
    <w:p w:rsidRPr="00D43D54" w:rsidR="00D43D54" w:rsidP="00D43D54" w:rsidRDefault="00D43D54" w14:paraId="21D3677A" w14:textId="77777777">
      <w:pPr>
        <w:numPr>
          <w:ilvl w:val="0"/>
          <w:numId w:val="7"/>
        </w:numPr>
      </w:pPr>
      <w:r>
        <w:rPr>
          <w:b/>
        </w:rPr>
        <w:t>A.1.1.7</w:t>
      </w:r>
      <w:r w:rsidRPr="00D43D54">
        <w:t xml:space="preserve"> Preparation of a report summarising the conclusions (assessment of changes in the organisation’s internal and external environment; recommendations regarding the need to amend the corporate strategy).</w:t>
      </w:r>
    </w:p>
    <w:p w:rsidRPr="00D43D54" w:rsidR="00FA0477" w:rsidP="00D43D54" w:rsidRDefault="005C0E39" w14:paraId="1870B2C2" w14:textId="68A3D2AD">
      <w:r>
        <w:t>The system should not only enable planning, but also the continuous monitoring of the corporate strategy development process via dashboards and reports; it should also ensure two-way integration with EPM system functionalities and external systems, such as PPM, SAP and others.</w:t>
      </w:r>
    </w:p>
    <w:p w:rsidR="00D43D54" w:rsidP="0FFA3208" w:rsidRDefault="00D43D54" w14:paraId="6EFC0953" w14:textId="08B0A338">
      <w:pPr>
        <w:pStyle w:val="Nagwek1"/>
        <w:numPr>
          <w:ilvl w:val="0"/>
          <w:numId w:val="1"/>
        </w:numPr>
        <w:spacing w:before="0" w:after="0" w:line="240" w:lineRule="auto"/>
        <w:ind w:left="425" w:hanging="425"/>
        <w:rPr>
          <w:rFonts w:ascii="Arial" w:hAnsi="Arial" w:cs="Arial"/>
          <w:b/>
          <w:bCs/>
          <w:color w:val="auto"/>
          <w:sz w:val="28"/>
          <w:szCs w:val="28"/>
        </w:rPr>
      </w:pPr>
      <w:bookmarkStart w:name="_Toc235774437" w:id="2"/>
      <w:r>
        <w:rPr>
          <w:rFonts w:ascii="Arial" w:hAnsi="Arial"/>
          <w:b/>
          <w:color w:val="auto"/>
          <w:sz w:val="28"/>
        </w:rPr>
        <w:t>Functionalities verified on the basis of a presentation of the solution without the ORLEN use case framework</w:t>
      </w:r>
      <w:bookmarkEnd w:id="2"/>
    </w:p>
    <w:p w:rsidR="0FFA3208" w:rsidP="0FFA3208" w:rsidRDefault="0FFA3208" w14:paraId="5D5E1627" w14:textId="1E231EA0"/>
    <w:p w:rsidR="00D43D54" w:rsidP="00D43D54" w:rsidRDefault="00D43D54" w14:paraId="2C10C7E6" w14:textId="1B8C31CC">
      <w:pPr>
        <w:pStyle w:val="Akapitzlist"/>
        <w:numPr>
          <w:ilvl w:val="0"/>
          <w:numId w:val="7"/>
        </w:numPr>
      </w:pPr>
      <w:r>
        <w:t xml:space="preserve">Two-way integration with EPM system functionalities and external systems, such as PPM, SAP, CRIP, the data platform and others. </w:t>
      </w:r>
    </w:p>
    <w:p w:rsidR="00D43D54" w:rsidP="00D43D54" w:rsidRDefault="00D43D54" w14:paraId="36F0310A" w14:textId="401DBB66">
      <w:pPr>
        <w:pStyle w:val="Akapitzlist"/>
        <w:numPr>
          <w:ilvl w:val="0"/>
          <w:numId w:val="7"/>
        </w:numPr>
      </w:pPr>
      <w:r>
        <w:t>Importing assumptions and system data that are the outputs of other processes, which serve as the input for process A.2: Corporate Strategy, as part of the activity summarising the conclusions of the strategic review.</w:t>
      </w:r>
    </w:p>
    <w:p w:rsidRPr="00D43D54" w:rsidR="00D43D54" w:rsidP="00D43D54" w:rsidRDefault="00D43D54" w14:paraId="45447885" w14:textId="69CB27DF">
      <w:pPr>
        <w:pStyle w:val="Akapitzlist"/>
        <w:numPr>
          <w:ilvl w:val="0"/>
          <w:numId w:val="7"/>
        </w:numPr>
      </w:pPr>
      <w:r>
        <w:t xml:space="preserve">Dashboards and KPI visualisations (Power BI or built-in tools), </w:t>
      </w:r>
    </w:p>
    <w:p w:rsidRPr="00D43D54" w:rsidR="00D43D54" w:rsidP="00D43D54" w:rsidRDefault="00D43D54" w14:paraId="4D0DF8CB" w14:textId="7DDF7829">
      <w:pPr>
        <w:pStyle w:val="Akapitzlist"/>
        <w:numPr>
          <w:ilvl w:val="0"/>
          <w:numId w:val="7"/>
        </w:numPr>
      </w:pPr>
      <w:r>
        <w:t xml:space="preserve">Workflow support for the approval of specifications and documents, </w:t>
      </w:r>
    </w:p>
    <w:p w:rsidR="00D43D54" w:rsidP="00D43D54" w:rsidRDefault="00D43D54" w14:paraId="278BB54A" w14:textId="6E1434EE">
      <w:pPr>
        <w:pStyle w:val="Akapitzlist"/>
        <w:numPr>
          <w:ilvl w:val="0"/>
          <w:numId w:val="7"/>
        </w:numPr>
      </w:pPr>
      <w:r>
        <w:t>Reporting in accordance with ORLEN templates (project status, risk analysis, PESTEL).</w:t>
      </w:r>
    </w:p>
    <w:p w:rsidR="00D43D54" w:rsidP="00D43D54" w:rsidRDefault="00D43D54" w14:paraId="18BD1A9F" w14:textId="1682F134">
      <w:pPr>
        <w:pStyle w:val="Akapitzlist"/>
        <w:numPr>
          <w:ilvl w:val="0"/>
          <w:numId w:val="7"/>
        </w:numPr>
      </w:pPr>
      <w:r>
        <w:t>Guidelines on the assumptions for the CAPEX Allocation process (D1. Investment options, D.2 Valuation), together with an assessment of the potential to generate profit margins (EBITDA)</w:t>
      </w:r>
    </w:p>
    <w:p w:rsidR="00D43D54" w:rsidP="00D43D54" w:rsidRDefault="00D43D54" w14:paraId="4E60EAE8" w14:textId="11CE88F4">
      <w:pPr>
        <w:pStyle w:val="Akapitzlist"/>
        <w:numPr>
          <w:ilvl w:val="0"/>
          <w:numId w:val="7"/>
        </w:numPr>
      </w:pPr>
      <w:r>
        <w:t>Integration with the AI tools supported by ORLEN in this context.</w:t>
      </w:r>
    </w:p>
    <w:p w:rsidR="00D43D54" w:rsidP="005C0E39" w:rsidRDefault="00D43D54" w14:paraId="3B4E8914" w14:textId="77777777"/>
    <w:p w:rsidRPr="005C0E39" w:rsidR="005C0E39" w:rsidP="005C0E39" w:rsidRDefault="005C0E39" w14:paraId="53981D60" w14:textId="77777777"/>
    <w:p w:rsidRPr="00FA0477" w:rsidR="00FA0477" w:rsidP="00FA0477" w:rsidRDefault="00FA0477" w14:paraId="1E2DA297" w14:textId="2EF8C37F">
      <w:pPr>
        <w:pStyle w:val="Nagwek1"/>
        <w:rPr>
          <w:b/>
          <w:bCs/>
        </w:rPr>
      </w:pPr>
      <w:r w:rsidRPr="00FA0477">
        <w:rPr>
          <w:b/>
          <w:bCs/>
        </w:rPr>
        <w:br w:type="page"/>
      </w:r>
    </w:p>
    <w:p w:rsidRPr="009A180E" w:rsidR="009A180E" w:rsidP="009A180E" w:rsidRDefault="009A180E" w14:paraId="0B594285" w14:textId="3463CB84">
      <w:pPr>
        <w:pStyle w:val="Nagwek1"/>
        <w:numPr>
          <w:ilvl w:val="0"/>
          <w:numId w:val="1"/>
        </w:numPr>
        <w:spacing w:before="0" w:after="0" w:line="240" w:lineRule="auto"/>
        <w:ind w:left="425" w:hanging="425"/>
        <w:rPr>
          <w:rFonts w:ascii="Arial" w:hAnsi="Arial" w:cs="Arial"/>
          <w:b/>
          <w:bCs/>
          <w:color w:val="auto"/>
          <w:sz w:val="28"/>
          <w:szCs w:val="28"/>
        </w:rPr>
      </w:pPr>
      <w:bookmarkStart w:name="_Toc235774438" w:id="3"/>
      <w:r>
        <w:rPr>
          <w:rFonts w:ascii="Arial" w:hAnsi="Arial"/>
          <w:b/>
          <w:color w:val="auto"/>
          <w:sz w:val="28"/>
        </w:rPr>
        <w:lastRenderedPageBreak/>
        <w:t>Functionalities verified on the basis of a presentation of the solution within the ORLEN use case framework</w:t>
      </w:r>
      <w:bookmarkEnd w:id="3"/>
    </w:p>
    <w:p w:rsidR="00FA0477" w:rsidRDefault="00FA0477" w14:paraId="64EC3DCD" w14:textId="75B2AE5A"/>
    <w:p w:rsidRPr="00D43D54" w:rsidR="00D43D54" w:rsidP="00D43D54" w:rsidRDefault="00D43D54" w14:paraId="03E93E10" w14:textId="77777777">
      <w:r>
        <w:t>The system should enable:</w:t>
      </w:r>
    </w:p>
    <w:p w:rsidRPr="00D43D54" w:rsidR="00D43D54" w:rsidP="00D43D54" w:rsidRDefault="00D43D54" w14:paraId="25FEA835" w14:textId="5F2CEA9D">
      <w:pPr>
        <w:numPr>
          <w:ilvl w:val="0"/>
          <w:numId w:val="9"/>
        </w:numPr>
      </w:pPr>
      <w:r>
        <w:t>Consolidation of data from the strategic review and environmental analyses / strategic intelligence functions,</w:t>
      </w:r>
    </w:p>
    <w:p w:rsidRPr="00D43D54" w:rsidR="00D43D54" w:rsidP="00D43D54" w:rsidRDefault="00D43D54" w14:paraId="3587BC2A" w14:textId="77777777">
      <w:pPr>
        <w:numPr>
          <w:ilvl w:val="0"/>
          <w:numId w:val="9"/>
        </w:numPr>
      </w:pPr>
      <w:r>
        <w:t>Strategic scenario modelling (analysis of a strategy’s resilience to macroeconomic changes),</w:t>
      </w:r>
    </w:p>
    <w:p w:rsidRPr="00D43D54" w:rsidR="00D43D54" w:rsidP="00D43D54" w:rsidRDefault="00D43D54" w14:paraId="334A78F7" w14:textId="77777777">
      <w:pPr>
        <w:numPr>
          <w:ilvl w:val="0"/>
          <w:numId w:val="9"/>
        </w:numPr>
      </w:pPr>
      <w:r>
        <w:t>Defining parameters for strategic programmes and initiatives in the context of financial and non-financial KPIs,</w:t>
      </w:r>
    </w:p>
    <w:p w:rsidRPr="00D43D54" w:rsidR="00D43D54" w:rsidP="00D43D54" w:rsidRDefault="00D43D54" w14:paraId="4B0F702D" w14:textId="77777777">
      <w:pPr>
        <w:numPr>
          <w:ilvl w:val="0"/>
          <w:numId w:val="9"/>
        </w:numPr>
      </w:pPr>
      <w:r>
        <w:t>Automation of notifications and workflows in the strategy approval process,</w:t>
      </w:r>
    </w:p>
    <w:p w:rsidRPr="00D43D54" w:rsidR="00D43D54" w:rsidP="00D43D54" w:rsidRDefault="00D43D54" w14:paraId="2A4F3D06" w14:textId="77777777">
      <w:pPr>
        <w:numPr>
          <w:ilvl w:val="0"/>
          <w:numId w:val="9"/>
        </w:numPr>
      </w:pPr>
      <w:r>
        <w:t>Generating quarterly reports in accordance with the ORLEN 2035 monitoring system.</w:t>
      </w:r>
    </w:p>
    <w:p w:rsidR="00D43D54" w:rsidRDefault="00D43D54" w14:paraId="12A6ED2B" w14:textId="77777777"/>
    <w:p w:rsidRPr="00F95BD8" w:rsidR="00F95BD8" w:rsidP="0FFA3208" w:rsidRDefault="00F95BD8" w14:paraId="19B5DE36" w14:textId="77777777">
      <w:pPr>
        <w:pStyle w:val="Akapitzlist"/>
        <w:keepNext/>
        <w:keepLines/>
        <w:spacing w:after="0" w:line="240" w:lineRule="auto"/>
        <w:ind w:left="360"/>
        <w:contextualSpacing w:val="0"/>
        <w:outlineLvl w:val="0"/>
        <w:rPr>
          <w:rFonts w:ascii="Arial" w:hAnsi="Arial" w:cs="Arial" w:eastAsiaTheme="majorEastAsia"/>
          <w:b/>
          <w:bCs/>
          <w:sz w:val="28"/>
          <w:szCs w:val="28"/>
        </w:rPr>
      </w:pPr>
    </w:p>
    <w:p w:rsidRPr="00D43D54" w:rsidR="00F95BD8" w:rsidP="0FFA3208" w:rsidRDefault="000B4190" w14:paraId="5F7ADE11" w14:textId="554F9393">
      <w:pPr>
        <w:pStyle w:val="Nagwek1"/>
        <w:spacing w:before="0" w:after="0" w:line="240" w:lineRule="auto"/>
        <w:rPr>
          <w:rFonts w:ascii="Arial" w:hAnsi="Arial" w:cs="Arial"/>
          <w:color w:val="auto"/>
          <w:sz w:val="28"/>
          <w:szCs w:val="28"/>
        </w:rPr>
      </w:pPr>
      <w:bookmarkStart w:name="_Toc235774439" w:id="4"/>
      <w:r>
        <w:rPr>
          <w:rFonts w:ascii="Arial" w:hAnsi="Arial"/>
          <w:b/>
          <w:color w:val="auto"/>
          <w:sz w:val="28"/>
        </w:rPr>
        <w:t xml:space="preserve">Use case 1 – </w:t>
      </w:r>
      <w:r w:rsidRPr="0FFA3208" w:rsidR="00D43D54">
        <w:rPr>
          <w:rFonts w:ascii="Arial" w:hAnsi="Arial"/>
          <w:color w:val="auto"/>
          <w:sz w:val="28"/>
          <w:szCs w:val="28"/>
        </w:rPr>
        <w:t>Developing the framework for a corporate strategy</w:t>
      </w:r>
      <w:bookmarkEnd w:id="4"/>
    </w:p>
    <w:p w:rsidR="00F95BD8" w:rsidP="00F95BD8" w:rsidRDefault="00F95BD8" w14:paraId="19486134" w14:textId="77777777"/>
    <w:p w:rsidR="00F95BD8" w:rsidP="0FFA3208" w:rsidRDefault="00F95BD8" w14:paraId="4368301B" w14:textId="26F2855C">
      <w:pPr>
        <w:pStyle w:val="Nagwek1"/>
        <w:spacing w:before="0" w:after="0" w:line="240" w:lineRule="auto"/>
      </w:pPr>
      <w:bookmarkStart w:name="_Toc235774440" w:id="5"/>
      <w:r>
        <w:rPr>
          <w:rFonts w:ascii="Arial" w:hAnsi="Arial"/>
          <w:b/>
          <w:color w:val="auto"/>
          <w:sz w:val="28"/>
        </w:rPr>
        <w:t>Use Case Specification</w:t>
      </w:r>
      <w:bookmarkEnd w:id="5"/>
      <w:r>
        <w:rPr>
          <w:rFonts w:ascii="Arial" w:hAnsi="Arial"/>
          <w:b/>
          <w:color w:val="auto"/>
          <w:sz w:val="28"/>
        </w:rPr>
        <w:t xml:space="preserve"> </w:t>
      </w:r>
    </w:p>
    <w:tbl>
      <w:tblPr>
        <w:tblStyle w:val="Tabela-Siatka"/>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110"/>
        <w:gridCol w:w="1515"/>
        <w:gridCol w:w="6420"/>
      </w:tblGrid>
      <w:tr w:rsidR="0FFA3208" w:rsidTr="0FFA3208" w14:paraId="7B512AC7" w14:textId="77777777">
        <w:trPr>
          <w:trHeight w:val="300"/>
        </w:trPr>
        <w:tc>
          <w:tcPr>
            <w:tcW w:w="1110" w:type="dxa"/>
            <w:vMerge w:val="restart"/>
            <w:shd w:val="clear" w:color="auto" w:fill="C00000"/>
            <w:tcMar>
              <w:left w:w="105" w:type="dxa"/>
              <w:right w:w="105" w:type="dxa"/>
            </w:tcMar>
            <w:vAlign w:val="center"/>
          </w:tcPr>
          <w:p w:rsidR="0FFA3208" w:rsidP="0FFA3208" w:rsidRDefault="0FFA3208" w14:paraId="2F90D551" w14:textId="1AFF1D1D">
            <w:pPr>
              <w:jc w:val="center"/>
              <w:rPr>
                <w:rFonts w:ascii="Arial" w:hAnsi="Arial" w:eastAsia="Arial" w:cs="Arial"/>
                <w:color w:val="FFFFFF" w:themeColor="background1"/>
              </w:rPr>
            </w:pPr>
            <w:r>
              <w:rPr>
                <w:rFonts w:ascii="Arial" w:hAnsi="Arial"/>
                <w:smallCaps/>
                <w:color w:val="FFFFFF" w:themeColor="background1"/>
              </w:rPr>
              <w:t>case no.</w:t>
            </w:r>
          </w:p>
        </w:tc>
        <w:tc>
          <w:tcPr>
            <w:tcW w:w="7935" w:type="dxa"/>
            <w:gridSpan w:val="2"/>
            <w:shd w:val="clear" w:color="auto" w:fill="C00000"/>
            <w:tcMar>
              <w:left w:w="105" w:type="dxa"/>
              <w:right w:w="105" w:type="dxa"/>
            </w:tcMar>
            <w:vAlign w:val="center"/>
          </w:tcPr>
          <w:p w:rsidR="0FFA3208" w:rsidP="0FFA3208" w:rsidRDefault="0FFA3208" w14:paraId="01517068" w14:textId="0C6B38DE">
            <w:pPr>
              <w:jc w:val="center"/>
              <w:rPr>
                <w:rFonts w:ascii="Arial" w:hAnsi="Arial" w:eastAsia="Arial" w:cs="Arial"/>
                <w:color w:val="FFFFFF" w:themeColor="background1"/>
              </w:rPr>
            </w:pPr>
            <w:r>
              <w:rPr>
                <w:rFonts w:ascii="Arial" w:hAnsi="Arial"/>
                <w:smallCaps/>
                <w:color w:val="FFFFFF" w:themeColor="background1"/>
              </w:rPr>
              <w:t>functionality</w:t>
            </w:r>
          </w:p>
        </w:tc>
      </w:tr>
      <w:tr w:rsidR="0FFA3208" w:rsidTr="0FFA3208" w14:paraId="4EA8FD81" w14:textId="77777777">
        <w:trPr>
          <w:trHeight w:val="300"/>
        </w:trPr>
        <w:tc>
          <w:tcPr>
            <w:tcW w:w="1110" w:type="dxa"/>
            <w:vMerge/>
            <w:vAlign w:val="center"/>
          </w:tcPr>
          <w:p w:rsidR="00565ED7" w:rsidRDefault="00565ED7" w14:paraId="30239E38" w14:textId="77777777"/>
        </w:tc>
        <w:tc>
          <w:tcPr>
            <w:tcW w:w="1515" w:type="dxa"/>
            <w:shd w:val="clear" w:color="auto" w:fill="C00000"/>
            <w:tcMar>
              <w:left w:w="105" w:type="dxa"/>
              <w:right w:w="105" w:type="dxa"/>
            </w:tcMar>
            <w:vAlign w:val="center"/>
          </w:tcPr>
          <w:p w:rsidR="104215FF" w:rsidP="0FFA3208" w:rsidRDefault="104215FF" w14:paraId="68F8AF0D" w14:textId="0F290349">
            <w:pPr>
              <w:jc w:val="center"/>
            </w:pPr>
            <w:r>
              <w:rPr>
                <w:rFonts w:ascii="Arial" w:hAnsi="Arial"/>
                <w:smallCaps/>
                <w:color w:val="FFFFFF" w:themeColor="background1"/>
              </w:rPr>
              <w:t>Process group</w:t>
            </w:r>
          </w:p>
        </w:tc>
        <w:tc>
          <w:tcPr>
            <w:tcW w:w="6420" w:type="dxa"/>
            <w:shd w:val="clear" w:color="auto" w:fill="C00000"/>
            <w:tcMar>
              <w:left w:w="105" w:type="dxa"/>
              <w:right w:w="105" w:type="dxa"/>
            </w:tcMar>
            <w:vAlign w:val="center"/>
          </w:tcPr>
          <w:p w:rsidR="5287C946" w:rsidP="0FFA3208" w:rsidRDefault="5287C946" w14:paraId="496B9909" w14:textId="6E38E379">
            <w:pPr>
              <w:jc w:val="center"/>
            </w:pPr>
            <w:r>
              <w:rPr>
                <w:rFonts w:ascii="Arial" w:hAnsi="Arial"/>
                <w:smallCaps/>
                <w:color w:val="FFFFFF" w:themeColor="background1"/>
              </w:rPr>
              <w:t>PROCESSES</w:t>
            </w:r>
          </w:p>
        </w:tc>
      </w:tr>
      <w:tr w:rsidR="0FFA3208" w:rsidTr="0FFA3208" w14:paraId="772CDC4C" w14:textId="77777777">
        <w:trPr>
          <w:trHeight w:val="300"/>
        </w:trPr>
        <w:tc>
          <w:tcPr>
            <w:tcW w:w="1110" w:type="dxa"/>
            <w:vMerge w:val="restart"/>
            <w:tcMar>
              <w:left w:w="105" w:type="dxa"/>
              <w:right w:w="105" w:type="dxa"/>
            </w:tcMar>
            <w:vAlign w:val="center"/>
          </w:tcPr>
          <w:p w:rsidR="0FFA3208" w:rsidP="0FFA3208" w:rsidRDefault="0FFA3208" w14:paraId="6BF04AD1" w14:textId="4E030395">
            <w:pPr>
              <w:jc w:val="center"/>
            </w:pPr>
            <w:r>
              <w:rPr>
                <w:rFonts w:ascii="Arial" w:hAnsi="Arial"/>
                <w:i/>
                <w:smallCaps/>
                <w:color w:val="171717" w:themeColor="background2" w:themeShade="1A"/>
              </w:rPr>
              <w:t>01</w:t>
            </w:r>
            <w:r>
              <w:br/>
            </w:r>
            <w:r>
              <w:rPr>
                <w:rFonts w:ascii="Arial" w:hAnsi="Arial"/>
                <w:i/>
                <w:smallCaps/>
                <w:color w:val="171717" w:themeColor="background2" w:themeShade="1A"/>
              </w:rPr>
              <w:t xml:space="preserve">SPM </w:t>
            </w:r>
          </w:p>
        </w:tc>
        <w:tc>
          <w:tcPr>
            <w:tcW w:w="1515" w:type="dxa"/>
            <w:tcMar>
              <w:left w:w="105" w:type="dxa"/>
              <w:right w:w="105" w:type="dxa"/>
            </w:tcMar>
            <w:vAlign w:val="center"/>
          </w:tcPr>
          <w:p w:rsidR="7906136D" w:rsidP="0FFA3208" w:rsidRDefault="7906136D" w14:paraId="3C2DAA0F" w14:textId="351A1CE9">
            <w:pPr>
              <w:jc w:val="center"/>
              <w:rPr>
                <w:rFonts w:ascii="Arial" w:hAnsi="Arial" w:eastAsia="Arial" w:cs="Arial"/>
                <w:i/>
                <w:iCs/>
                <w:smallCaps/>
                <w:color w:val="171717" w:themeColor="background2" w:themeShade="1A"/>
              </w:rPr>
            </w:pPr>
            <w:r>
              <w:rPr>
                <w:rFonts w:ascii="Arial" w:hAnsi="Arial"/>
                <w:i/>
                <w:smallCaps/>
                <w:color w:val="171717" w:themeColor="background2" w:themeShade="1A"/>
              </w:rPr>
              <w:t>A1</w:t>
            </w:r>
          </w:p>
        </w:tc>
        <w:tc>
          <w:tcPr>
            <w:tcW w:w="6420" w:type="dxa"/>
            <w:tcMar>
              <w:left w:w="105" w:type="dxa"/>
              <w:right w:w="105" w:type="dxa"/>
            </w:tcMar>
          </w:tcPr>
          <w:p w:rsidR="7906136D" w:rsidP="0FFA3208" w:rsidRDefault="7906136D" w14:paraId="2D42BD9F" w14:textId="282BEB44">
            <w:pPr>
              <w:rPr>
                <w:rFonts w:ascii="Arial" w:hAnsi="Arial" w:eastAsia="Arial" w:cs="Arial"/>
                <w:i/>
                <w:iCs/>
                <w:smallCaps/>
                <w:color w:val="171717" w:themeColor="background2" w:themeShade="1A"/>
              </w:rPr>
            </w:pPr>
            <w:r>
              <w:rPr>
                <w:i/>
                <w:smallCaps/>
                <w:color w:val="171717" w:themeColor="background2" w:themeShade="1A"/>
              </w:rPr>
              <w:t>Long-Term Strategic Framework (LTSF): systematic management of sub-processes for the development of strategic hypotheses, aggregation, evaluation and prioritisation of conclusions drawn from: stakeholder expectation analysis, strategic analysis of the external environment, and strategic directions pursued by competitors</w:t>
            </w:r>
          </w:p>
        </w:tc>
      </w:tr>
      <w:tr w:rsidR="0FFA3208" w:rsidTr="0FFA3208" w14:paraId="699403DD" w14:textId="77777777">
        <w:trPr>
          <w:trHeight w:val="1035"/>
        </w:trPr>
        <w:tc>
          <w:tcPr>
            <w:tcW w:w="1110" w:type="dxa"/>
            <w:vMerge/>
            <w:vAlign w:val="center"/>
          </w:tcPr>
          <w:p w:rsidR="00565ED7" w:rsidRDefault="00565ED7" w14:paraId="7B2FF9CA" w14:textId="77777777"/>
        </w:tc>
        <w:tc>
          <w:tcPr>
            <w:tcW w:w="1515" w:type="dxa"/>
            <w:tcMar>
              <w:left w:w="105" w:type="dxa"/>
              <w:right w:w="105" w:type="dxa"/>
            </w:tcMar>
            <w:vAlign w:val="center"/>
          </w:tcPr>
          <w:p w:rsidR="4CF78B49" w:rsidP="0FFA3208" w:rsidRDefault="4CF78B49" w14:paraId="003FFF54" w14:textId="1BBFC7FD">
            <w:pPr>
              <w:jc w:val="center"/>
            </w:pPr>
            <w:r>
              <w:rPr>
                <w:i/>
                <w:smallCaps/>
                <w:color w:val="171717" w:themeColor="background2" w:themeShade="1A"/>
              </w:rPr>
              <w:t>A2</w:t>
            </w:r>
          </w:p>
        </w:tc>
        <w:tc>
          <w:tcPr>
            <w:tcW w:w="6420" w:type="dxa"/>
            <w:tcMar>
              <w:left w:w="105" w:type="dxa"/>
              <w:right w:w="105" w:type="dxa"/>
            </w:tcMar>
          </w:tcPr>
          <w:p w:rsidR="4CF78B49" w:rsidP="0FFA3208" w:rsidRDefault="4CF78B49" w14:paraId="11F582FC" w14:textId="6267F644">
            <w:r>
              <w:rPr>
                <w:i/>
                <w:smallCaps/>
                <w:color w:val="171717" w:themeColor="background2" w:themeShade="1A"/>
              </w:rPr>
              <w:t>Corporate strategy: Developing strategic hypotheses and drawing conclusions, prioritisation, creating strategic scenarios,</w:t>
            </w:r>
          </w:p>
        </w:tc>
      </w:tr>
      <w:tr w:rsidR="0FFA3208" w:rsidTr="0FFA3208" w14:paraId="577B52B1" w14:textId="77777777">
        <w:trPr>
          <w:trHeight w:val="300"/>
        </w:trPr>
        <w:tc>
          <w:tcPr>
            <w:tcW w:w="1110" w:type="dxa"/>
            <w:vMerge/>
            <w:tcMar>
              <w:left w:w="105" w:type="dxa"/>
              <w:right w:w="105" w:type="dxa"/>
            </w:tcMar>
            <w:vAlign w:val="center"/>
          </w:tcPr>
          <w:p w:rsidR="00565ED7" w:rsidRDefault="00565ED7" w14:paraId="4137C846" w14:textId="77777777"/>
        </w:tc>
        <w:tc>
          <w:tcPr>
            <w:tcW w:w="1515" w:type="dxa"/>
            <w:tcMar>
              <w:left w:w="105" w:type="dxa"/>
              <w:right w:w="105" w:type="dxa"/>
            </w:tcMar>
            <w:vAlign w:val="center"/>
          </w:tcPr>
          <w:p w:rsidR="47D4578D" w:rsidP="0FFA3208" w:rsidRDefault="47D4578D" w14:paraId="60D9CCF1" w14:textId="467F8856">
            <w:pPr>
              <w:jc w:val="center"/>
            </w:pPr>
            <w:r>
              <w:rPr>
                <w:i/>
                <w:smallCaps/>
                <w:color w:val="171717" w:themeColor="background2" w:themeShade="1A"/>
              </w:rPr>
              <w:t xml:space="preserve">e1 </w:t>
            </w:r>
          </w:p>
        </w:tc>
        <w:tc>
          <w:tcPr>
            <w:tcW w:w="6420" w:type="dxa"/>
            <w:tcMar>
              <w:left w:w="105" w:type="dxa"/>
              <w:right w:w="105" w:type="dxa"/>
            </w:tcMar>
          </w:tcPr>
          <w:p w:rsidR="47D4578D" w:rsidP="0FFA3208" w:rsidRDefault="47D4578D" w14:paraId="69EB7C68" w14:textId="56527633">
            <w:pPr>
              <w:rPr>
                <w:rFonts w:eastAsiaTheme="minorEastAsia"/>
                <w:i/>
                <w:iCs/>
                <w:smallCaps/>
                <w:color w:val="171717" w:themeColor="background2" w:themeShade="1A"/>
              </w:rPr>
            </w:pPr>
            <w:r>
              <w:rPr>
                <w:i/>
                <w:smallCaps/>
                <w:color w:val="171717" w:themeColor="background2" w:themeShade="1A"/>
              </w:rPr>
              <w:t>Portfolio optimisation</w:t>
            </w:r>
          </w:p>
        </w:tc>
      </w:tr>
      <w:tr w:rsidR="0FFA3208" w:rsidTr="0FFA3208" w14:paraId="27573527" w14:textId="77777777">
        <w:trPr>
          <w:trHeight w:val="300"/>
        </w:trPr>
        <w:tc>
          <w:tcPr>
            <w:tcW w:w="1110" w:type="dxa"/>
            <w:vMerge/>
            <w:tcMar>
              <w:left w:w="105" w:type="dxa"/>
              <w:right w:w="105" w:type="dxa"/>
            </w:tcMar>
            <w:vAlign w:val="center"/>
          </w:tcPr>
          <w:p w:rsidR="00565ED7" w:rsidRDefault="00565ED7" w14:paraId="2C4C4975" w14:textId="77777777"/>
        </w:tc>
        <w:tc>
          <w:tcPr>
            <w:tcW w:w="1515" w:type="dxa"/>
            <w:tcMar>
              <w:left w:w="105" w:type="dxa"/>
              <w:right w:w="105" w:type="dxa"/>
            </w:tcMar>
            <w:vAlign w:val="center"/>
          </w:tcPr>
          <w:p w:rsidR="47D4578D" w:rsidP="0FFA3208" w:rsidRDefault="47D4578D" w14:paraId="2767E19E" w14:textId="58DE6FC1">
            <w:pPr>
              <w:jc w:val="center"/>
            </w:pPr>
            <w:r>
              <w:rPr>
                <w:i/>
                <w:smallCaps/>
                <w:color w:val="171717" w:themeColor="background2" w:themeShade="1A"/>
              </w:rPr>
              <w:t xml:space="preserve">g1 </w:t>
            </w:r>
          </w:p>
        </w:tc>
        <w:tc>
          <w:tcPr>
            <w:tcW w:w="6420" w:type="dxa"/>
            <w:tcMar>
              <w:left w:w="105" w:type="dxa"/>
              <w:right w:w="105" w:type="dxa"/>
            </w:tcMar>
          </w:tcPr>
          <w:p w:rsidR="47D4578D" w:rsidP="0FFA3208" w:rsidRDefault="47D4578D" w14:paraId="189D43D3" w14:textId="65BEA441">
            <w:r>
              <w:rPr>
                <w:i/>
                <w:smallCaps/>
                <w:color w:val="171717" w:themeColor="background2" w:themeShade="1A"/>
              </w:rPr>
              <w:t>STRATEGIC OVERVIEW</w:t>
            </w:r>
          </w:p>
        </w:tc>
      </w:tr>
    </w:tbl>
    <w:p w:rsidR="00F95BD8" w:rsidP="0FFA3208" w:rsidRDefault="00F95BD8" w14:paraId="04991145" w14:textId="150506FC"/>
    <w:tbl>
      <w:tblPr>
        <w:tblStyle w:val="Tabela-Siatka"/>
        <w:tblW w:w="0" w:type="auto"/>
        <w:tblLook w:val="04A0" w:firstRow="1" w:lastRow="0" w:firstColumn="1" w:lastColumn="0" w:noHBand="0" w:noVBand="1"/>
      </w:tblPr>
      <w:tblGrid>
        <w:gridCol w:w="1531"/>
        <w:gridCol w:w="2433"/>
        <w:gridCol w:w="5098"/>
      </w:tblGrid>
      <w:tr w:rsidR="0FFA3208" w:rsidTr="0FFA3208" w14:paraId="4B949196" w14:textId="77777777">
        <w:trPr>
          <w:trHeight w:val="300"/>
        </w:trPr>
        <w:tc>
          <w:tcPr>
            <w:tcW w:w="1531" w:type="dxa"/>
            <w:vMerge w:val="restart"/>
            <w:shd w:val="clear" w:color="auto" w:fill="C00000"/>
            <w:vAlign w:val="center"/>
          </w:tcPr>
          <w:p w:rsidR="0FFA3208" w:rsidP="0FFA3208" w:rsidRDefault="0FFA3208" w14:paraId="5D6C163A" w14:textId="0D9B6991">
            <w:pPr>
              <w:jc w:val="center"/>
              <w:rPr>
                <w:rFonts w:ascii="Arial" w:hAnsi="Arial" w:cs="Arial"/>
                <w:smallCaps/>
                <w:color w:val="FFFFFF" w:themeColor="background1"/>
                <w:sz w:val="24"/>
                <w:szCs w:val="24"/>
              </w:rPr>
            </w:pPr>
            <w:r>
              <w:rPr>
                <w:rFonts w:ascii="Arial" w:hAnsi="Arial"/>
                <w:smallCaps/>
                <w:color w:val="FFFFFF" w:themeColor="background1"/>
                <w:sz w:val="24"/>
              </w:rPr>
              <w:t>case no.</w:t>
            </w:r>
          </w:p>
        </w:tc>
        <w:tc>
          <w:tcPr>
            <w:tcW w:w="7531" w:type="dxa"/>
            <w:gridSpan w:val="2"/>
            <w:shd w:val="clear" w:color="auto" w:fill="C00000"/>
            <w:vAlign w:val="center"/>
          </w:tcPr>
          <w:p w:rsidR="0FFA3208" w:rsidP="0FFA3208" w:rsidRDefault="0FFA3208" w14:paraId="142283AF" w14:textId="45B6B71B">
            <w:pPr>
              <w:jc w:val="center"/>
              <w:rPr>
                <w:rFonts w:ascii="Arial" w:hAnsi="Arial" w:cs="Arial"/>
                <w:smallCaps/>
                <w:color w:val="FFFFFF" w:themeColor="background1"/>
                <w:sz w:val="24"/>
                <w:szCs w:val="24"/>
              </w:rPr>
            </w:pPr>
            <w:r>
              <w:rPr>
                <w:rFonts w:ascii="Arial" w:hAnsi="Arial"/>
                <w:smallCaps/>
                <w:color w:val="FFFFFF" w:themeColor="background1"/>
                <w:sz w:val="24"/>
              </w:rPr>
              <w:t>functionality</w:t>
            </w:r>
          </w:p>
        </w:tc>
      </w:tr>
      <w:tr w:rsidR="0FFA3208" w:rsidTr="0FFA3208" w14:paraId="343D26B0" w14:textId="77777777">
        <w:trPr>
          <w:trHeight w:val="300"/>
        </w:trPr>
        <w:tc>
          <w:tcPr>
            <w:tcW w:w="1531" w:type="dxa"/>
            <w:vMerge/>
          </w:tcPr>
          <w:p w:rsidR="00565ED7" w:rsidRDefault="00565ED7" w14:paraId="276AB2B4" w14:textId="77777777"/>
        </w:tc>
        <w:tc>
          <w:tcPr>
            <w:tcW w:w="2433" w:type="dxa"/>
            <w:shd w:val="clear" w:color="auto" w:fill="C00000"/>
            <w:vAlign w:val="center"/>
          </w:tcPr>
          <w:p w:rsidR="0FFA3208" w:rsidP="0FFA3208" w:rsidRDefault="0FFA3208" w14:paraId="1B96D564" w14:textId="14A6B033">
            <w:pPr>
              <w:jc w:val="center"/>
              <w:rPr>
                <w:rFonts w:ascii="Arial" w:hAnsi="Arial" w:cs="Arial"/>
                <w:smallCaps/>
                <w:color w:val="FFFFFF" w:themeColor="background1"/>
                <w:sz w:val="24"/>
                <w:szCs w:val="24"/>
              </w:rPr>
            </w:pPr>
            <w:r>
              <w:rPr>
                <w:rFonts w:ascii="Arial" w:hAnsi="Arial"/>
                <w:smallCaps/>
                <w:color w:val="FFFFFF" w:themeColor="background1"/>
                <w:sz w:val="24"/>
              </w:rPr>
              <w:t>letter symbols</w:t>
            </w:r>
          </w:p>
        </w:tc>
        <w:tc>
          <w:tcPr>
            <w:tcW w:w="5098" w:type="dxa"/>
            <w:shd w:val="clear" w:color="auto" w:fill="C00000"/>
            <w:vAlign w:val="center"/>
          </w:tcPr>
          <w:p w:rsidR="0FFA3208" w:rsidP="0FFA3208" w:rsidRDefault="0FFA3208" w14:paraId="33892940" w14:textId="5770F3EC">
            <w:pPr>
              <w:jc w:val="center"/>
              <w:rPr>
                <w:rFonts w:ascii="Arial" w:hAnsi="Arial" w:cs="Arial"/>
                <w:smallCaps/>
                <w:color w:val="FFFFFF" w:themeColor="background1"/>
                <w:sz w:val="24"/>
                <w:szCs w:val="24"/>
              </w:rPr>
            </w:pPr>
            <w:r>
              <w:rPr>
                <w:rFonts w:ascii="Arial" w:hAnsi="Arial"/>
                <w:smallCaps/>
                <w:color w:val="FFFFFF" w:themeColor="background1"/>
                <w:sz w:val="24"/>
              </w:rPr>
              <w:t>Name of the functionality</w:t>
            </w:r>
          </w:p>
        </w:tc>
      </w:tr>
      <w:tr w:rsidR="0FFA3208" w:rsidTr="0FFA3208" w14:paraId="000E5119" w14:textId="77777777">
        <w:trPr>
          <w:trHeight w:val="300"/>
        </w:trPr>
        <w:tc>
          <w:tcPr>
            <w:tcW w:w="1531" w:type="dxa"/>
            <w:vMerge w:val="restart"/>
          </w:tcPr>
          <w:p w:rsidR="0FFA3208" w:rsidP="0FFA3208" w:rsidRDefault="0FFA3208" w14:paraId="5057625A" w14:textId="7E90B66A">
            <w:pPr>
              <w:jc w:val="center"/>
            </w:pPr>
            <w:r>
              <w:rPr>
                <w:rFonts w:ascii="Arial" w:hAnsi="Arial"/>
                <w:i/>
                <w:smallCaps/>
                <w:color w:val="171717" w:themeColor="background2" w:themeShade="1A"/>
                <w:sz w:val="24"/>
              </w:rPr>
              <w:t>01 SPM</w:t>
            </w:r>
          </w:p>
        </w:tc>
        <w:tc>
          <w:tcPr>
            <w:tcW w:w="2433" w:type="dxa"/>
          </w:tcPr>
          <w:p w:rsidR="0FFA3208" w:rsidP="0FFA3208" w:rsidRDefault="0FFA3208" w14:paraId="332959E5" w14:textId="2B003049">
            <w:pPr>
              <w:rPr>
                <w:rFonts w:ascii="Arial" w:hAnsi="Arial" w:cs="Arial"/>
                <w:b/>
                <w:bCs/>
                <w:smallCaps/>
                <w:color w:val="171717" w:themeColor="background2" w:themeShade="1A"/>
                <w:sz w:val="20"/>
                <w:szCs w:val="20"/>
              </w:rPr>
            </w:pPr>
            <w:r>
              <w:rPr>
                <w:rFonts w:ascii="Arial" w:hAnsi="Arial"/>
                <w:b/>
                <w:smallCaps/>
                <w:color w:val="171717" w:themeColor="background2" w:themeShade="1A"/>
                <w:sz w:val="20"/>
              </w:rPr>
              <w:t>Data and source integration</w:t>
            </w:r>
          </w:p>
        </w:tc>
        <w:tc>
          <w:tcPr>
            <w:tcW w:w="5098" w:type="dxa"/>
          </w:tcPr>
          <w:p w:rsidR="0FFA3208" w:rsidP="0FFA3208" w:rsidRDefault="0FFA3208" w14:paraId="21E1D666" w14:textId="77777777">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Integration with PPM/EPM – automatic retrieval of data from processes for monitoring projects, programmes and strategic initiatives. </w:t>
            </w:r>
          </w:p>
          <w:p w:rsidR="0FFA3208" w:rsidP="0FFA3208" w:rsidRDefault="0FFA3208" w14:paraId="0D61123E" w14:textId="77777777">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Batch data processing – strategic hypotheses, stakeholder expectations, environmental analysis (PESTEL). </w:t>
            </w:r>
          </w:p>
          <w:p w:rsidR="0FFA3208" w:rsidP="0FFA3208" w:rsidRDefault="0FFA3208" w14:paraId="2993DEF0" w14:textId="5BBCB335">
            <w:pPr>
              <w:pStyle w:val="Akapitzlist"/>
              <w:numPr>
                <w:ilvl w:val="0"/>
                <w:numId w:val="13"/>
              </w:numPr>
              <w:ind w:left="316"/>
              <w:jc w:val="left"/>
              <w:rPr>
                <w:rFonts w:ascii="Arial" w:hAnsi="Arial" w:cs="Arial"/>
                <w:i/>
                <w:iCs/>
                <w:smallCaps/>
                <w:color w:val="171717" w:themeColor="background2" w:themeShade="1A"/>
                <w:sz w:val="20"/>
                <w:szCs w:val="20"/>
              </w:rPr>
            </w:pPr>
            <w:r>
              <w:rPr>
                <w:rFonts w:ascii="Arial" w:hAnsi="Arial"/>
                <w:smallCaps/>
                <w:color w:val="171717" w:themeColor="background2" w:themeShade="1A"/>
                <w:sz w:val="20"/>
              </w:rPr>
              <w:t>Integration with ORLEN 2035 reports / strategic intelligence tools – KPI status, risks, management alerts.</w:t>
            </w:r>
          </w:p>
        </w:tc>
      </w:tr>
      <w:tr w:rsidR="0FFA3208" w:rsidTr="0FFA3208" w14:paraId="7545B14D" w14:textId="77777777">
        <w:trPr>
          <w:trHeight w:val="300"/>
        </w:trPr>
        <w:tc>
          <w:tcPr>
            <w:tcW w:w="1531" w:type="dxa"/>
            <w:vMerge/>
          </w:tcPr>
          <w:p w:rsidR="00565ED7" w:rsidRDefault="00565ED7" w14:paraId="71D82C38" w14:textId="77777777"/>
        </w:tc>
        <w:tc>
          <w:tcPr>
            <w:tcW w:w="2433" w:type="dxa"/>
          </w:tcPr>
          <w:p w:rsidR="0FFA3208" w:rsidP="0FFA3208" w:rsidRDefault="0FFA3208" w14:paraId="5B27DFED" w14:textId="3FD7EAC1">
            <w:pPr>
              <w:rPr>
                <w:rFonts w:ascii="Arial" w:hAnsi="Arial" w:cs="Arial"/>
                <w:i/>
                <w:iCs/>
                <w:smallCaps/>
                <w:color w:val="171717" w:themeColor="background2" w:themeShade="1A"/>
                <w:sz w:val="24"/>
                <w:szCs w:val="24"/>
              </w:rPr>
            </w:pPr>
            <w:r>
              <w:rPr>
                <w:rFonts w:ascii="Arial" w:hAnsi="Arial"/>
                <w:b/>
                <w:smallCaps/>
                <w:color w:val="171717" w:themeColor="background2" w:themeShade="1A"/>
                <w:sz w:val="20"/>
              </w:rPr>
              <w:t>Planning and modelling</w:t>
            </w:r>
          </w:p>
        </w:tc>
        <w:tc>
          <w:tcPr>
            <w:tcW w:w="5098" w:type="dxa"/>
          </w:tcPr>
          <w:p w:rsidR="0FFA3208" w:rsidP="0FFA3208" w:rsidRDefault="0FFA3208" w14:paraId="59116CF1" w14:textId="77777777">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Creating strategy process timelines – the ability to define stages, assign responsibilities and set up notifications. </w:t>
            </w:r>
          </w:p>
          <w:p w:rsidR="0FFA3208" w:rsidP="0FFA3208" w:rsidRDefault="0FFA3208" w14:paraId="7CDB089A" w14:textId="363AE166">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‘What-if’ scenario modelling – analysing the impact of macroeconomic, regulatory and market changes on strategy. </w:t>
            </w:r>
          </w:p>
          <w:p w:rsidR="0FFA3208" w:rsidP="0FFA3208" w:rsidRDefault="0FFA3208" w14:paraId="67CEB77D" w14:textId="3256A784">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Defining strategic objectives and initiatives – linking them to financial KPIs (EBITDA, CAPEX) and non-financial KPIs (ESG, decarbonisation)</w:t>
            </w:r>
          </w:p>
        </w:tc>
      </w:tr>
      <w:tr w:rsidR="0FFA3208" w:rsidTr="0FFA3208" w14:paraId="7E2B9FF4" w14:textId="77777777">
        <w:trPr>
          <w:trHeight w:val="300"/>
        </w:trPr>
        <w:tc>
          <w:tcPr>
            <w:tcW w:w="1531" w:type="dxa"/>
            <w:vMerge/>
          </w:tcPr>
          <w:p w:rsidR="00565ED7" w:rsidRDefault="00565ED7" w14:paraId="4FB90434" w14:textId="77777777"/>
        </w:tc>
        <w:tc>
          <w:tcPr>
            <w:tcW w:w="2433" w:type="dxa"/>
          </w:tcPr>
          <w:p w:rsidR="0FFA3208" w:rsidP="0FFA3208" w:rsidRDefault="0FFA3208" w14:paraId="3736640E" w14:textId="4C9ECAFC">
            <w:pPr>
              <w:rPr>
                <w:rFonts w:ascii="Arial" w:hAnsi="Arial" w:cs="Arial"/>
                <w:b/>
                <w:bCs/>
                <w:smallCaps/>
                <w:color w:val="171717" w:themeColor="background2" w:themeShade="1A"/>
                <w:sz w:val="20"/>
                <w:szCs w:val="20"/>
              </w:rPr>
            </w:pPr>
            <w:r>
              <w:rPr>
                <w:rFonts w:ascii="Arial" w:hAnsi="Arial"/>
                <w:b/>
                <w:smallCaps/>
                <w:color w:val="171717" w:themeColor="background2" w:themeShade="1A"/>
                <w:sz w:val="20"/>
              </w:rPr>
              <w:t>Reporting and visualisation</w:t>
            </w:r>
          </w:p>
        </w:tc>
        <w:tc>
          <w:tcPr>
            <w:tcW w:w="5098" w:type="dxa"/>
          </w:tcPr>
          <w:p w:rsidR="0FFA3208" w:rsidP="0FFA3208" w:rsidRDefault="0FFA3208" w14:paraId="404DC041" w14:textId="4C0C0153">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KPI dashboards – a presentation of the progress made towards strategic objectives and project statuses. </w:t>
            </w:r>
          </w:p>
          <w:p w:rsidR="0FFA3208" w:rsidP="0FFA3208" w:rsidRDefault="0FFA3208" w14:paraId="411ACFDF" w14:textId="6B46157B">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Quarterly reports – compliant with ORLEN formats (macro environment, project status, risk analysis). </w:t>
            </w:r>
          </w:p>
          <w:p w:rsidR="0FFA3208" w:rsidP="0FFA3208" w:rsidRDefault="0FFA3208" w14:paraId="25C1D891" w14:textId="346C49DD">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Analysis of variances and risks – schedule, budget and market-related</w:t>
            </w:r>
          </w:p>
        </w:tc>
      </w:tr>
      <w:tr w:rsidR="0FFA3208" w:rsidTr="0FFA3208" w14:paraId="5A0A939C" w14:textId="77777777">
        <w:trPr>
          <w:trHeight w:val="300"/>
        </w:trPr>
        <w:tc>
          <w:tcPr>
            <w:tcW w:w="1531" w:type="dxa"/>
            <w:vMerge/>
          </w:tcPr>
          <w:p w:rsidR="00565ED7" w:rsidRDefault="00565ED7" w14:paraId="5C5FD2E0" w14:textId="77777777"/>
        </w:tc>
        <w:tc>
          <w:tcPr>
            <w:tcW w:w="2433" w:type="dxa"/>
          </w:tcPr>
          <w:p w:rsidR="0FFA3208" w:rsidP="0FFA3208" w:rsidRDefault="0FFA3208" w14:paraId="4B61ED70" w14:textId="11AE30C4">
            <w:pPr>
              <w:rPr>
                <w:rFonts w:ascii="Arial" w:hAnsi="Arial" w:cs="Arial"/>
                <w:b/>
                <w:bCs/>
                <w:smallCaps/>
                <w:color w:val="171717" w:themeColor="background2" w:themeShade="1A"/>
                <w:sz w:val="20"/>
                <w:szCs w:val="20"/>
              </w:rPr>
            </w:pPr>
            <w:r>
              <w:rPr>
                <w:rFonts w:ascii="Arial" w:hAnsi="Arial"/>
                <w:b/>
                <w:smallCaps/>
                <w:color w:val="171717" w:themeColor="background2" w:themeShade="1A"/>
                <w:sz w:val="20"/>
              </w:rPr>
              <w:t>Workflow and approval</w:t>
            </w:r>
          </w:p>
        </w:tc>
        <w:tc>
          <w:tcPr>
            <w:tcW w:w="5098" w:type="dxa"/>
          </w:tcPr>
          <w:p w:rsidR="0FFA3208" w:rsidP="0FFA3208" w:rsidRDefault="0FFA3208" w14:paraId="419CC1B1" w14:textId="489AE741">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Support for decision-making processes – approving assumptions, providing feedback on strategic objectives, and handling escalations. </w:t>
            </w:r>
          </w:p>
          <w:p w:rsidR="0FFA3208" w:rsidP="0FFA3208" w:rsidRDefault="0FFA3208" w14:paraId="78DA1B11" w14:textId="2327D705">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Approval processes – Macro Committee, Strategy Committee, Management Board, Supervisory Board</w:t>
            </w:r>
          </w:p>
        </w:tc>
      </w:tr>
      <w:tr w:rsidR="0FFA3208" w:rsidTr="0FFA3208" w14:paraId="1AF1490A" w14:textId="77777777">
        <w:trPr>
          <w:trHeight w:val="300"/>
        </w:trPr>
        <w:tc>
          <w:tcPr>
            <w:tcW w:w="1531" w:type="dxa"/>
            <w:vMerge/>
          </w:tcPr>
          <w:p w:rsidR="00565ED7" w:rsidRDefault="00565ED7" w14:paraId="6DBF1B5C" w14:textId="77777777"/>
        </w:tc>
        <w:tc>
          <w:tcPr>
            <w:tcW w:w="2433" w:type="dxa"/>
          </w:tcPr>
          <w:p w:rsidR="0FFA3208" w:rsidP="0FFA3208" w:rsidRDefault="0FFA3208" w14:paraId="7371D145" w14:textId="031D17D9">
            <w:pPr>
              <w:rPr>
                <w:rFonts w:ascii="Arial" w:hAnsi="Arial" w:cs="Arial"/>
                <w:b/>
                <w:bCs/>
                <w:smallCaps/>
                <w:color w:val="171717" w:themeColor="background2" w:themeShade="1A"/>
                <w:sz w:val="20"/>
                <w:szCs w:val="20"/>
              </w:rPr>
            </w:pPr>
            <w:r>
              <w:rPr>
                <w:rFonts w:ascii="Arial" w:hAnsi="Arial"/>
                <w:b/>
                <w:smallCaps/>
                <w:color w:val="171717" w:themeColor="background2" w:themeShade="1A"/>
                <w:sz w:val="20"/>
              </w:rPr>
              <w:t>Analytical functions</w:t>
            </w:r>
          </w:p>
        </w:tc>
        <w:tc>
          <w:tcPr>
            <w:tcW w:w="5098" w:type="dxa"/>
          </w:tcPr>
          <w:p w:rsidR="0FFA3208" w:rsidP="0FFA3208" w:rsidRDefault="0FFA3208" w14:paraId="60EFD132" w14:textId="5487A3F2">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 xml:space="preserve">Analysis of the external environment (PESTEL) – geopolitical, macroeconomic and regulatory trends. </w:t>
            </w:r>
          </w:p>
          <w:p w:rsidR="0FFA3208" w:rsidP="0FFA3208" w:rsidRDefault="0FFA3208" w14:paraId="753B4FA6" w14:textId="77777777">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Strategy resilience simulations – an analysis of the impact of alternative scenarios on KPIs</w:t>
            </w:r>
          </w:p>
          <w:p w:rsidR="0FFA3208" w:rsidP="0FFA3208" w:rsidRDefault="0FFA3208" w14:paraId="0C5DE2B2" w14:textId="244B0C98">
            <w:pPr>
              <w:pStyle w:val="Akapitzlist"/>
              <w:numPr>
                <w:ilvl w:val="0"/>
                <w:numId w:val="13"/>
              </w:numPr>
              <w:ind w:left="316"/>
              <w:jc w:val="left"/>
              <w:rPr>
                <w:rFonts w:ascii="Arial" w:hAnsi="Arial" w:cs="Arial"/>
                <w:smallCaps/>
                <w:color w:val="171717" w:themeColor="background2" w:themeShade="1A"/>
                <w:sz w:val="20"/>
                <w:szCs w:val="20"/>
              </w:rPr>
            </w:pPr>
            <w:r>
              <w:rPr>
                <w:rFonts w:ascii="Arial" w:hAnsi="Arial"/>
                <w:smallCaps/>
                <w:color w:val="171717" w:themeColor="background2" w:themeShade="1A"/>
                <w:sz w:val="20"/>
              </w:rPr>
              <w:t>Integration with AI analytics data (e.g. RA – Retrieval-Augmented Generation)</w:t>
            </w:r>
          </w:p>
        </w:tc>
      </w:tr>
    </w:tbl>
    <w:p w:rsidR="00F95BD8" w:rsidP="00F95BD8" w:rsidRDefault="00F95BD8" w14:paraId="337C5225" w14:textId="4F069FE0"/>
    <w:p w:rsidRPr="003C2629" w:rsidR="003C2629" w:rsidP="0FFA3208" w:rsidRDefault="003C2629" w14:paraId="2C4B47C1" w14:textId="01E0A3C7">
      <w:pPr>
        <w:ind w:left="720"/>
        <w:rPr>
          <w:b/>
          <w:bCs/>
        </w:rPr>
      </w:pPr>
    </w:p>
    <w:p w:rsidRPr="003C2629" w:rsidR="003C2629" w:rsidP="0FFA3208" w:rsidRDefault="003C2629" w14:paraId="3560917F" w14:textId="32DDC1F9">
      <w:r>
        <w:br w:type="page"/>
      </w:r>
    </w:p>
    <w:p w:rsidRPr="003C2629" w:rsidR="003C2629" w:rsidP="0FFA3208" w:rsidRDefault="003C2629" w14:paraId="284F76BB" w14:textId="57BF4888">
      <w:pPr>
        <w:ind w:left="720"/>
      </w:pPr>
      <w:r>
        <w:rPr>
          <w:b/>
        </w:rPr>
        <w:lastRenderedPageBreak/>
        <w:t>Objective:</w:t>
      </w:r>
      <w:r>
        <w:t xml:space="preserve"> to draw up strategic guidelines based on data from the PPM/EPM strategic intelligence tool.</w:t>
      </w:r>
    </w:p>
    <w:p w:rsidRPr="003C2629" w:rsidR="003C2629" w:rsidP="003C2629" w:rsidRDefault="003C2629" w14:paraId="0B8ABA54" w14:textId="77420D14">
      <w:pPr>
        <w:ind w:left="720"/>
      </w:pPr>
      <w:r>
        <w:rPr>
          <w:b/>
        </w:rPr>
        <w:t>Participants:</w:t>
      </w:r>
      <w:r>
        <w:t xml:space="preserve"> Corporate Strategy, Strategic Finance.</w:t>
      </w:r>
    </w:p>
    <w:p w:rsidRPr="003C2629" w:rsidR="003C2629" w:rsidP="003C2629" w:rsidRDefault="003C2629" w14:paraId="641AEC8C" w14:textId="77777777">
      <w:pPr>
        <w:numPr>
          <w:ilvl w:val="0"/>
          <w:numId w:val="15"/>
        </w:numPr>
      </w:pPr>
      <w:r>
        <w:rPr>
          <w:b/>
        </w:rPr>
        <w:t xml:space="preserve">Input data: </w:t>
      </w:r>
      <w:r w:rsidRPr="003C2629">
        <w:t xml:space="preserve"> </w:t>
      </w:r>
    </w:p>
    <w:p w:rsidRPr="003C2629" w:rsidR="003C2629" w:rsidP="003C2629" w:rsidRDefault="003C2629" w14:paraId="77F1B45C" w14:textId="45FF73CE">
      <w:pPr>
        <w:numPr>
          <w:ilvl w:val="1"/>
          <w:numId w:val="15"/>
        </w:numPr>
      </w:pPr>
      <w:r>
        <w:t>Strategic assumptions and hypotheses,</w:t>
      </w:r>
    </w:p>
    <w:p w:rsidRPr="003C2629" w:rsidR="003C2629" w:rsidP="003C2629" w:rsidRDefault="003C2629" w14:paraId="0EA13725" w14:textId="77777777">
      <w:pPr>
        <w:numPr>
          <w:ilvl w:val="1"/>
          <w:numId w:val="15"/>
        </w:numPr>
      </w:pPr>
      <w:r>
        <w:t>environmental analyses,</w:t>
      </w:r>
    </w:p>
    <w:p w:rsidRPr="003C2629" w:rsidR="003C2629" w:rsidP="003C2629" w:rsidRDefault="003C2629" w14:paraId="59CD3485" w14:textId="77777777">
      <w:pPr>
        <w:numPr>
          <w:ilvl w:val="1"/>
          <w:numId w:val="15"/>
        </w:numPr>
      </w:pPr>
      <w:r>
        <w:t>stakeholders’ expectations,</w:t>
      </w:r>
    </w:p>
    <w:p w:rsidRPr="003C2629" w:rsidR="003C2629" w:rsidP="003C2629" w:rsidRDefault="003C2629" w14:paraId="3064C75B" w14:textId="41F84995">
      <w:pPr>
        <w:numPr>
          <w:ilvl w:val="1"/>
          <w:numId w:val="15"/>
        </w:numPr>
      </w:pPr>
      <w:r>
        <w:t>Strategic analysis of the external environment (e.g. PESTEL, analysis of strategic changes among competitors / a reference group)</w:t>
      </w:r>
    </w:p>
    <w:p w:rsidRPr="003C2629" w:rsidR="003C2629" w:rsidP="003C2629" w:rsidRDefault="003C2629" w14:paraId="2540BD42" w14:textId="77777777">
      <w:pPr>
        <w:numPr>
          <w:ilvl w:val="0"/>
          <w:numId w:val="15"/>
        </w:numPr>
      </w:pPr>
      <w:r>
        <w:rPr>
          <w:b/>
        </w:rPr>
        <w:t>Step-by-step guide to the scenario:</w:t>
      </w:r>
      <w:r w:rsidRPr="003C2629">
        <w:t xml:space="preserve"> </w:t>
      </w:r>
    </w:p>
    <w:p w:rsidRPr="003C2629" w:rsidR="003C2629" w:rsidP="003C2629" w:rsidRDefault="003C2629" w14:paraId="3FA96697" w14:textId="77777777">
      <w:pPr>
        <w:numPr>
          <w:ilvl w:val="1"/>
          <w:numId w:val="15"/>
        </w:numPr>
      </w:pPr>
      <w:r>
        <w:t>Importing batch data from PPM.</w:t>
      </w:r>
    </w:p>
    <w:p w:rsidR="003C2629" w:rsidP="003C2629" w:rsidRDefault="003C2629" w14:paraId="60D191FC" w14:textId="77777777">
      <w:pPr>
        <w:numPr>
          <w:ilvl w:val="1"/>
          <w:numId w:val="15"/>
        </w:numPr>
      </w:pPr>
      <w:r>
        <w:t>Updating macro parameters.</w:t>
      </w:r>
    </w:p>
    <w:p w:rsidRPr="003C2629" w:rsidR="003C2629" w:rsidP="003C2629" w:rsidRDefault="003C2629" w14:paraId="07A80467" w14:textId="71E898E7">
      <w:pPr>
        <w:numPr>
          <w:ilvl w:val="1"/>
          <w:numId w:val="15"/>
        </w:numPr>
      </w:pPr>
      <w:r>
        <w:t>Introduction of strategic hypotheses and recommendations</w:t>
      </w:r>
    </w:p>
    <w:p w:rsidR="003C2629" w:rsidP="003C2629" w:rsidRDefault="003C2629" w14:paraId="62DA564C" w14:textId="274BE7F0">
      <w:pPr>
        <w:numPr>
          <w:ilvl w:val="1"/>
          <w:numId w:val="15"/>
        </w:numPr>
      </w:pPr>
      <w:r>
        <w:t>Scenario modelling and impact assessments (strategic KPIs, CAPEX, EBITDA)</w:t>
      </w:r>
    </w:p>
    <w:p w:rsidRPr="003C2629" w:rsidR="003C2629" w:rsidP="003C2629" w:rsidRDefault="003C2629" w14:paraId="1C9DB587" w14:textId="4C03940A">
      <w:pPr>
        <w:numPr>
          <w:ilvl w:val="1"/>
          <w:numId w:val="15"/>
        </w:numPr>
      </w:pPr>
      <w:r>
        <w:t>Determining the effect of the modelled scenarios on CAPEX and the expected impact on EBITDA,</w:t>
      </w:r>
    </w:p>
    <w:p w:rsidRPr="003C2629" w:rsidR="003C2629" w:rsidP="003C2629" w:rsidRDefault="003C2629" w14:paraId="6D2D9512" w14:textId="77777777">
      <w:pPr>
        <w:numPr>
          <w:ilvl w:val="1"/>
          <w:numId w:val="15"/>
        </w:numPr>
      </w:pPr>
      <w:r>
        <w:t>Generating the assumptions report.</w:t>
      </w:r>
    </w:p>
    <w:p w:rsidRPr="003C2629" w:rsidR="003C2629" w:rsidP="003C2629" w:rsidRDefault="003C2629" w14:paraId="08BCD039" w14:textId="77777777">
      <w:pPr>
        <w:numPr>
          <w:ilvl w:val="0"/>
          <w:numId w:val="15"/>
        </w:numPr>
      </w:pPr>
      <w:r>
        <w:rPr>
          <w:b/>
        </w:rPr>
        <w:t>Expected result:</w:t>
      </w:r>
      <w:r w:rsidRPr="003C2629">
        <w:t xml:space="preserve"> </w:t>
      </w:r>
    </w:p>
    <w:p w:rsidRPr="003C2629" w:rsidR="003C2629" w:rsidP="003C2629" w:rsidRDefault="003C2629" w14:paraId="4E8CD7C6" w14:textId="77777777">
      <w:pPr>
        <w:numPr>
          <w:ilvl w:val="1"/>
          <w:numId w:val="15"/>
        </w:numPr>
      </w:pPr>
      <w:r>
        <w:t>a set of assumptions for the strategy,</w:t>
      </w:r>
    </w:p>
    <w:p w:rsidRPr="003C2629" w:rsidR="003C2629" w:rsidP="003C2629" w:rsidRDefault="003C2629" w14:paraId="0C3EA232" w14:textId="77777777">
      <w:pPr>
        <w:numPr>
          <w:ilvl w:val="1"/>
          <w:numId w:val="15"/>
        </w:numPr>
      </w:pPr>
      <w:r>
        <w:t>visualisation on the dashboard.</w:t>
      </w:r>
    </w:p>
    <w:p w:rsidRPr="003C2629" w:rsidR="003C2629" w:rsidP="003C2629" w:rsidRDefault="003C2629" w14:paraId="59E114C8" w14:textId="77777777">
      <w:pPr>
        <w:numPr>
          <w:ilvl w:val="0"/>
          <w:numId w:val="15"/>
        </w:numPr>
      </w:pPr>
      <w:r>
        <w:rPr>
          <w:b/>
        </w:rPr>
        <w:t>Supplier assessment KPIs:</w:t>
      </w:r>
      <w:r w:rsidRPr="003C2629">
        <w:t xml:space="preserve"> </w:t>
      </w:r>
    </w:p>
    <w:p w:rsidRPr="003C2629" w:rsidR="003C2629" w:rsidP="003C2629" w:rsidRDefault="003C2629" w14:paraId="2AE71479" w14:textId="77777777">
      <w:pPr>
        <w:numPr>
          <w:ilvl w:val="1"/>
          <w:numId w:val="15"/>
        </w:numPr>
      </w:pPr>
      <w:r>
        <w:t>integration,</w:t>
      </w:r>
    </w:p>
    <w:p w:rsidRPr="003C2629" w:rsidR="003C2629" w:rsidP="003C2629" w:rsidRDefault="003C2629" w14:paraId="7E093B4C" w14:textId="77777777">
      <w:pPr>
        <w:numPr>
          <w:ilvl w:val="1"/>
          <w:numId w:val="15"/>
        </w:numPr>
      </w:pPr>
      <w:r>
        <w:t>ergonomics,</w:t>
      </w:r>
    </w:p>
    <w:p w:rsidRPr="003C2629" w:rsidR="003C2629" w:rsidP="003C2629" w:rsidRDefault="003C2629" w14:paraId="4334CE8A" w14:textId="4AAB4F8D">
      <w:pPr>
        <w:numPr>
          <w:ilvl w:val="1"/>
          <w:numId w:val="15"/>
        </w:numPr>
      </w:pPr>
      <w:r>
        <w:t>the time taken to complete the steps,</w:t>
      </w:r>
    </w:p>
    <w:p w:rsidR="58648CFF" w:rsidP="0FFA3208" w:rsidRDefault="58648CFF" w14:paraId="1A81F354" w14:textId="352623AB">
      <w:pPr>
        <w:numPr>
          <w:ilvl w:val="1"/>
          <w:numId w:val="15"/>
        </w:numPr>
      </w:pPr>
      <w:r>
        <w:t>Comprehensiveness and data integration at a strategic level.</w:t>
      </w:r>
    </w:p>
    <w:p w:rsidR="003C2629" w:rsidP="003C2629" w:rsidRDefault="003C2629" w14:paraId="4C9A3FC6" w14:textId="2D81E827">
      <w:r>
        <w:rPr>
          <w:b/>
        </w:rPr>
        <w:t>Benefit:</w:t>
      </w:r>
      <w:r>
        <w:t xml:space="preserve"> Suppliers demonstrate how to implement a use case based on the recommended EPM system module (which provides SPM system functionality).</w:t>
      </w:r>
      <w:r>
        <w:br/>
      </w:r>
    </w:p>
    <w:p w:rsidR="003C2629" w:rsidP="00F95BD8" w:rsidRDefault="003C2629" w14:paraId="02BBE66C" w14:textId="028FC416">
      <w:r>
        <w:t>An additional advantage of the model is its ability to continuously review and revise highly parameterised strategic assumptions, taking into account changes in key parameters affecting the implementation of individual programmes / Initiatives / strategic KPIs (e.g. a change in the macroeconomic scenario, a change in the cost of compliance due to regulatory changes, or significant delays in the implementation of strategic projects).</w:t>
      </w:r>
    </w:p>
    <w:p w:rsidR="003C2629" w:rsidP="00F95BD8" w:rsidRDefault="003C2629" w14:paraId="38AFAEF6" w14:textId="77777777"/>
    <w:p w:rsidR="0FFA3208" w:rsidRDefault="0FFA3208" w14:paraId="1694F51D" w14:textId="0E909B66"/>
    <w:p w:rsidR="0FFA3208" w:rsidRDefault="0FFA3208" w14:paraId="70DA85CD" w14:textId="2111B6CD"/>
    <w:p w:rsidRPr="00D43D54" w:rsidR="00D43D54" w:rsidP="00D43D54" w:rsidRDefault="00D43D54" w14:paraId="4EE80B4D" w14:textId="5F04DB12">
      <w:r>
        <w:rPr>
          <w:b/>
        </w:rPr>
        <w:t>KPIs for assessing system functionality</w:t>
      </w:r>
      <w:r w:rsidRPr="00D43D54">
        <w:t xml:space="preserve">: </w:t>
      </w:r>
    </w:p>
    <w:p w:rsidRPr="00D43D54" w:rsidR="00D43D54" w:rsidP="00D43D54" w:rsidRDefault="00D43D54" w14:paraId="37066702" w14:textId="77777777">
      <w:pPr>
        <w:numPr>
          <w:ilvl w:val="0"/>
          <w:numId w:val="10"/>
        </w:numPr>
      </w:pPr>
      <w:r>
        <w:t>Integration with PPM/EPM and the data platform,</w:t>
      </w:r>
    </w:p>
    <w:p w:rsidRPr="00D43D54" w:rsidR="00D43D54" w:rsidP="00D43D54" w:rsidRDefault="00D43D54" w14:paraId="0BAA8FFF" w14:textId="77777777">
      <w:pPr>
        <w:numPr>
          <w:ilvl w:val="0"/>
          <w:numId w:val="10"/>
        </w:numPr>
      </w:pPr>
      <w:r>
        <w:t>Support for ‘what-if’ scenarios,</w:t>
      </w:r>
    </w:p>
    <w:p w:rsidRPr="00D43D54" w:rsidR="00D43D54" w:rsidP="00D43D54" w:rsidRDefault="00D43D54" w14:paraId="2962DC11" w14:textId="77777777">
      <w:pPr>
        <w:numPr>
          <w:ilvl w:val="0"/>
          <w:numId w:val="10"/>
        </w:numPr>
      </w:pPr>
      <w:r>
        <w:t>Automation of reports and dashboards,</w:t>
      </w:r>
    </w:p>
    <w:p w:rsidRPr="00D43D54" w:rsidR="00D43D54" w:rsidP="00D43D54" w:rsidRDefault="00D43D54" w14:paraId="50A13504" w14:textId="77777777">
      <w:pPr>
        <w:numPr>
          <w:ilvl w:val="0"/>
          <w:numId w:val="10"/>
        </w:numPr>
      </w:pPr>
      <w:r>
        <w:t>Interface ergonomics.</w:t>
      </w:r>
    </w:p>
    <w:p w:rsidR="20160485" w:rsidP="0FFA3208" w:rsidRDefault="20160485" w14:paraId="288D9904" w14:textId="206746AB">
      <w:pPr>
        <w:numPr>
          <w:ilvl w:val="0"/>
          <w:numId w:val="10"/>
        </w:numPr>
      </w:pPr>
      <w:r>
        <w:t>Orchestration of AI agents’ work</w:t>
      </w:r>
    </w:p>
    <w:p w:rsidR="00F95BD8" w:rsidRDefault="00F95BD8" w14:paraId="2A321C78" w14:textId="3D369A8B">
      <w:r>
        <w:rPr>
          <w:b/>
        </w:rPr>
        <w:t>Rating scale</w:t>
      </w:r>
      <w:r w:rsidR="00D43D54">
        <w:t>: 1–5 (1 – no functionality, 5 – full compliance)</w:t>
      </w:r>
    </w:p>
    <w:p w:rsidRPr="004F4B6F" w:rsidR="00056415" w:rsidP="00056415" w:rsidRDefault="00056415" w14:paraId="31FF009C" w14:textId="77777777">
      <w:pPr>
        <w:rPr>
          <w:rFonts w:ascii="Arial" w:hAnsi="Arial" w:cs="Arial"/>
          <w:i/>
          <w:iCs/>
          <w:smallCaps/>
          <w:color w:val="171717" w:themeColor="background2" w:themeShade="1A"/>
          <w:sz w:val="36"/>
          <w:szCs w:val="36"/>
        </w:rPr>
      </w:pPr>
    </w:p>
    <w:p w:rsidR="009A180E" w:rsidP="00F95BD8" w:rsidRDefault="009A180E" w14:paraId="577F2293" w14:textId="60E2D376">
      <w:pPr>
        <w:pStyle w:val="Nagwek1"/>
        <w:numPr>
          <w:ilvl w:val="2"/>
          <w:numId w:val="3"/>
        </w:numPr>
        <w:spacing w:before="0" w:after="0" w:line="240" w:lineRule="auto"/>
        <w:ind w:left="993" w:hanging="993"/>
        <w:rPr>
          <w:rFonts w:ascii="Arial" w:hAnsi="Arial" w:cs="Arial"/>
          <w:b/>
          <w:bCs/>
          <w:color w:val="auto"/>
          <w:sz w:val="28"/>
          <w:szCs w:val="28"/>
        </w:rPr>
      </w:pPr>
      <w:bookmarkStart w:name="_Toc235774441" w:id="6"/>
      <w:r>
        <w:rPr>
          <w:rFonts w:ascii="Arial" w:hAnsi="Arial"/>
          <w:b/>
          <w:color w:val="auto"/>
          <w:sz w:val="28"/>
        </w:rPr>
        <w:t>Use case description</w:t>
      </w:r>
      <w:bookmarkEnd w:id="6"/>
      <w:r>
        <w:rPr>
          <w:rFonts w:ascii="Arial" w:hAnsi="Arial"/>
          <w:b/>
          <w:color w:val="auto"/>
          <w:sz w:val="28"/>
        </w:rPr>
        <w:t xml:space="preserve"> </w:t>
      </w:r>
    </w:p>
    <w:p w:rsidR="00D43D54" w:rsidP="00D43D54" w:rsidRDefault="00D43D54" w14:paraId="091F6F15" w14:textId="77777777"/>
    <w:p w:rsidRPr="00D43D54" w:rsidR="00D43D54" w:rsidP="00D43D54" w:rsidRDefault="00D43D54" w14:paraId="237B1021" w14:textId="77777777">
      <w:r>
        <w:t>The script includes:</w:t>
      </w:r>
    </w:p>
    <w:p w:rsidRPr="00D43D54" w:rsidR="00D43D54" w:rsidP="00D43D54" w:rsidRDefault="00D43D54" w14:paraId="4326850D" w14:textId="77777777">
      <w:pPr>
        <w:numPr>
          <w:ilvl w:val="0"/>
          <w:numId w:val="11"/>
        </w:numPr>
      </w:pPr>
      <w:r>
        <w:t>Preparation of assumptions based on the strategic review report,</w:t>
      </w:r>
    </w:p>
    <w:p w:rsidRPr="00D43D54" w:rsidR="00D43D54" w:rsidP="00D43D54" w:rsidRDefault="00D43D54" w14:paraId="37CB0D01" w14:textId="77777777">
      <w:pPr>
        <w:numPr>
          <w:ilvl w:val="0"/>
          <w:numId w:val="11"/>
        </w:numPr>
      </w:pPr>
      <w:r>
        <w:t>Collection of input data (strategic products, value framework, long-term forecasts),</w:t>
      </w:r>
    </w:p>
    <w:p w:rsidRPr="00D43D54" w:rsidR="00D43D54" w:rsidP="00D43D54" w:rsidRDefault="00D43D54" w14:paraId="03BEAB92" w14:textId="77777777">
      <w:pPr>
        <w:numPr>
          <w:ilvl w:val="0"/>
          <w:numId w:val="11"/>
        </w:numPr>
      </w:pPr>
      <w:r>
        <w:t>Verification and updating of macroeconomic assumptions,</w:t>
      </w:r>
    </w:p>
    <w:p w:rsidRPr="00D43D54" w:rsidR="00D43D54" w:rsidP="00D43D54" w:rsidRDefault="00D43D54" w14:paraId="44C8A91A" w14:textId="77777777">
      <w:pPr>
        <w:numPr>
          <w:ilvl w:val="0"/>
          <w:numId w:val="11"/>
        </w:numPr>
      </w:pPr>
      <w:r>
        <w:t>Identifying areas for development and drawing up a strategic model,</w:t>
      </w:r>
    </w:p>
    <w:p w:rsidRPr="00D43D54" w:rsidR="00D43D54" w:rsidP="00D43D54" w:rsidRDefault="00D43D54" w14:paraId="610C1299" w14:textId="77777777">
      <w:pPr>
        <w:numPr>
          <w:ilvl w:val="0"/>
          <w:numId w:val="11"/>
        </w:numPr>
      </w:pPr>
      <w:r>
        <w:t>Drawing up a strategic plan (objectives, initiatives, timetable),</w:t>
      </w:r>
    </w:p>
    <w:p w:rsidRPr="00D43D54" w:rsidR="00D43D54" w:rsidP="00D43D54" w:rsidRDefault="00D43D54" w14:paraId="273274B7" w14:textId="77777777">
      <w:pPr>
        <w:numPr>
          <w:ilvl w:val="0"/>
          <w:numId w:val="11"/>
        </w:numPr>
      </w:pPr>
      <w:r>
        <w:t>Preparation of the strategy document and its approval by the Management Board and the Supervisory Board,</w:t>
      </w:r>
    </w:p>
    <w:p w:rsidRPr="00D43D54" w:rsidR="00D43D54" w:rsidP="00D43D54" w:rsidRDefault="00D43D54" w14:paraId="55B450FE" w14:textId="77777777">
      <w:pPr>
        <w:numPr>
          <w:ilvl w:val="0"/>
          <w:numId w:val="11"/>
        </w:numPr>
      </w:pPr>
      <w:r>
        <w:t>Communicating strategy within the organisation (Power BI dashboards),</w:t>
      </w:r>
    </w:p>
    <w:p w:rsidR="00D43D54" w:rsidP="00D43D54" w:rsidRDefault="00D43D54" w14:paraId="0194092D" w14:textId="77777777">
      <w:pPr>
        <w:numPr>
          <w:ilvl w:val="0"/>
          <w:numId w:val="11"/>
        </w:numPr>
      </w:pPr>
      <w:r>
        <w:t>Linking the monitoring of the implementation of the ORLEN 2035 strategy.</w:t>
      </w:r>
    </w:p>
    <w:p w:rsidRPr="00D43D54" w:rsidR="00D43D54" w:rsidP="00D43D54" w:rsidRDefault="00D43D54" w14:paraId="09C833BE" w14:textId="77777777">
      <w:pPr>
        <w:ind w:left="720"/>
      </w:pPr>
    </w:p>
    <w:p w:rsidR="009A180E" w:rsidP="00F95BD8" w:rsidRDefault="00F95BD8" w14:paraId="0C062139" w14:textId="294668F1">
      <w:pPr>
        <w:pStyle w:val="Nagwek1"/>
        <w:numPr>
          <w:ilvl w:val="2"/>
          <w:numId w:val="3"/>
        </w:numPr>
        <w:spacing w:before="0" w:after="0" w:line="240" w:lineRule="auto"/>
        <w:ind w:left="993" w:hanging="993"/>
        <w:rPr>
          <w:rFonts w:ascii="Arial" w:hAnsi="Arial" w:cs="Arial"/>
          <w:b/>
          <w:bCs/>
          <w:color w:val="auto"/>
          <w:sz w:val="28"/>
          <w:szCs w:val="28"/>
        </w:rPr>
      </w:pPr>
      <w:bookmarkStart w:name="_Toc235774442" w:id="7"/>
      <w:r>
        <w:rPr>
          <w:rFonts w:ascii="Arial" w:hAnsi="Arial"/>
          <w:b/>
          <w:color w:val="auto"/>
          <w:sz w:val="28"/>
        </w:rPr>
        <w:t>How the functionality is presented</w:t>
      </w:r>
      <w:bookmarkEnd w:id="7"/>
    </w:p>
    <w:p w:rsidR="00D43D54" w:rsidP="00D43D54" w:rsidRDefault="00D43D54" w14:paraId="603B33D4" w14:textId="77777777"/>
    <w:p w:rsidRPr="00D43D54" w:rsidR="00D43D54" w:rsidP="00D43D54" w:rsidRDefault="00D43D54" w14:paraId="41E48FE2" w14:textId="45E4B53B">
      <w:r>
        <w:rPr>
          <w:b/>
        </w:rPr>
        <w:t xml:space="preserve"> Presentation format</w:t>
      </w:r>
      <w:r w:rsidRPr="00D43D54">
        <w:t xml:space="preserve">: live demo using ORLEN’s test data, </w:t>
      </w:r>
    </w:p>
    <w:p w:rsidRPr="00D43D54" w:rsidR="00D43D54" w:rsidP="00D43D54" w:rsidRDefault="00D43D54" w14:paraId="7870BBF2" w14:textId="3821BC2B">
      <w:r>
        <w:rPr>
          <w:b/>
        </w:rPr>
        <w:t>Scope of the demonstration</w:t>
      </w:r>
      <w:r w:rsidRPr="00D43D54">
        <w:t xml:space="preserve">: </w:t>
      </w:r>
    </w:p>
    <w:p w:rsidRPr="00D43D54" w:rsidR="00D43D54" w:rsidP="00D43D54" w:rsidRDefault="00D43D54" w14:paraId="17E733DE" w14:textId="77777777">
      <w:pPr>
        <w:numPr>
          <w:ilvl w:val="0"/>
          <w:numId w:val="12"/>
        </w:numPr>
      </w:pPr>
      <w:r>
        <w:t>Creating a process schedule,</w:t>
      </w:r>
    </w:p>
    <w:p w:rsidR="00EF2F4A" w:rsidP="00D43D54" w:rsidRDefault="00EF2F4A" w14:paraId="6EF5D3CC" w14:textId="2506F409">
      <w:pPr>
        <w:numPr>
          <w:ilvl w:val="0"/>
          <w:numId w:val="12"/>
        </w:numPr>
      </w:pPr>
      <w:r>
        <w:t xml:space="preserve">Feeding the model with output data from other processes/systems [PPM test data] </w:t>
      </w:r>
    </w:p>
    <w:p w:rsidRPr="00D43D54" w:rsidR="00D43D54" w:rsidP="00D43D54" w:rsidRDefault="00D43D54" w14:paraId="1BBD965B" w14:textId="69474A2F">
      <w:pPr>
        <w:numPr>
          <w:ilvl w:val="0"/>
          <w:numId w:val="12"/>
        </w:numPr>
      </w:pPr>
      <w:r>
        <w:t>Strategic scenario modelling,</w:t>
      </w:r>
    </w:p>
    <w:p w:rsidRPr="00D43D54" w:rsidR="00D43D54" w:rsidP="00D43D54" w:rsidRDefault="00D43D54" w14:paraId="533DD834" w14:textId="77777777">
      <w:pPr>
        <w:numPr>
          <w:ilvl w:val="0"/>
          <w:numId w:val="12"/>
        </w:numPr>
      </w:pPr>
      <w:r>
        <w:t>Generating KPI reports and visualisations,</w:t>
      </w:r>
    </w:p>
    <w:p w:rsidR="00D43D54" w:rsidP="00D43D54" w:rsidRDefault="00D43D54" w14:paraId="069C371C" w14:textId="77777777">
      <w:pPr>
        <w:numPr>
          <w:ilvl w:val="0"/>
          <w:numId w:val="12"/>
        </w:numPr>
      </w:pPr>
      <w:r>
        <w:t>Support for workflow approval of assumptions and strategies.</w:t>
      </w:r>
    </w:p>
    <w:p w:rsidR="00621B9E" w:rsidP="00621B9E" w:rsidRDefault="00621B9E" w14:paraId="2FD9E53E" w14:textId="77777777"/>
    <w:p w:rsidR="00621B9E" w:rsidP="00621B9E" w:rsidRDefault="00621B9E" w14:paraId="024E1462" w14:textId="77777777"/>
    <w:p w:rsidRPr="00BB6947" w:rsidR="00621B9E" w:rsidP="00621B9E" w:rsidRDefault="00621B9E" w14:paraId="61A1A026" w14:textId="7160B278">
      <w:pPr>
        <w:rPr>
          <w:b/>
          <w:bCs/>
        </w:rPr>
      </w:pPr>
      <w:r>
        <w:rPr>
          <w:b/>
        </w:rPr>
        <w:t>To visualise the process, use the data prepared for the use case:</w:t>
      </w:r>
    </w:p>
    <w:p w:rsidR="00621B9E" w:rsidP="00621B9E" w:rsidRDefault="00621B9E" w14:paraId="29F9E942" w14:textId="77777777"/>
    <w:p w:rsidR="00621B9E" w:rsidP="00621B9E" w:rsidRDefault="00BB6947" w14:paraId="1AF9D44E" w14:textId="6D43018B">
      <w:pPr>
        <w:rPr>
          <w:b/>
          <w:bCs/>
        </w:rPr>
      </w:pPr>
      <w:r>
        <w:rPr>
          <w:b/>
        </w:rPr>
        <w:t>Strategic initiative (R3): Development of electromobility</w:t>
      </w:r>
    </w:p>
    <w:p w:rsidR="00621B9E" w:rsidP="00621B9E" w:rsidRDefault="00621B9E" w14:paraId="24C4F293" w14:textId="77777777">
      <w:pPr>
        <w:rPr>
          <w:b/>
          <w:bCs/>
        </w:rPr>
      </w:pPr>
    </w:p>
    <w:p w:rsidR="00621B9E" w:rsidP="0FFA3208" w:rsidRDefault="00621B9E" w14:paraId="72F8EECB" w14:textId="0F13A6D0">
      <w:r>
        <w:rPr>
          <w:b/>
        </w:rPr>
        <w:t xml:space="preserve">Executive Summary of the Programme: </w:t>
      </w:r>
      <w:r>
        <w:t>The electromobility sector is meeting its KPIs in excess of strategic targets; in line with earlier forecasts, results have continued to improve</w:t>
      </w:r>
    </w:p>
    <w:p w:rsidR="00621B9E" w:rsidP="00621B9E" w:rsidRDefault="00621B9E" w14:paraId="2A812B62" w14:textId="77777777"/>
    <w:p w:rsidR="00621B9E" w:rsidP="00621B9E" w:rsidRDefault="00621B9E" w14:paraId="680474A9" w14:textId="4B88A77D">
      <w:r>
        <w:t>KPI: Share of the public EV charging market in Poland for fast charging (DC), (%)</w:t>
      </w:r>
    </w:p>
    <w:p w:rsidR="00621B9E" w:rsidP="00621B9E" w:rsidRDefault="00621B9E" w14:paraId="03C65DE9" w14:textId="3DF81B92">
      <w:r>
        <w:t>Starting level (2024): 4.5%</w:t>
      </w:r>
    </w:p>
    <w:p w:rsidR="00F32694" w:rsidP="00F32694" w:rsidRDefault="00F32694" w14:paraId="401C549F" w14:textId="77777777">
      <w:r>
        <w:t>Strategy target for Q4 2025: 5.0%</w:t>
      </w:r>
    </w:p>
    <w:p w:rsidR="00621B9E" w:rsidP="00621B9E" w:rsidRDefault="00621B9E" w14:paraId="5C5DADB5" w14:textId="3F9843CD">
      <w:r>
        <w:t>Progress (Q4 2025): 6.5%</w:t>
      </w:r>
    </w:p>
    <w:p w:rsidR="00621B9E" w:rsidP="00621B9E" w:rsidRDefault="00621B9E" w14:paraId="575A9959" w14:textId="59C51381">
      <w:r>
        <w:t>Targeted project pipeline for 2030: 21.5%</w:t>
      </w:r>
    </w:p>
    <w:p w:rsidR="00621B9E" w:rsidP="00621B9E" w:rsidRDefault="00621B9E" w14:paraId="6857BF0E" w14:textId="2C9FB441">
      <w:r>
        <w:t>Coverage gap for 2030: 2%; coverage gap for 2035: 7%</w:t>
      </w:r>
    </w:p>
    <w:p w:rsidR="00621B9E" w:rsidP="00621B9E" w:rsidRDefault="00621B9E" w14:paraId="0850124B" w14:textId="106D39E2">
      <w:r>
        <w:t>Recommendation for a review of the Strategy: On track; expansion of operations into foreign markets where the Retail segment (ORLEN) is present</w:t>
      </w:r>
    </w:p>
    <w:p w:rsidR="00621B9E" w:rsidP="00621B9E" w:rsidRDefault="00621B9E" w14:paraId="74D7A885" w14:textId="77777777"/>
    <w:p w:rsidR="00621B9E" w:rsidP="00621B9E" w:rsidRDefault="00621B9E" w14:paraId="253C2446" w14:textId="1271CBB9">
      <w:r>
        <w:t>Actions carried out that have contributed to the implementation of the Initiative:</w:t>
      </w:r>
    </w:p>
    <w:p w:rsidR="00621B9E" w:rsidP="00621B9E" w:rsidRDefault="00621B9E" w14:paraId="6F62C439" w14:textId="63096A10">
      <w:r>
        <w:t>• New central system – release of the MVP version of the ORLEN Charge module in the VITAY app; development, customisation and testing by the system provider; update to the</w:t>
      </w:r>
      <w:r w:rsidRPr="00621B9E">
        <w:rPr>
          <w:rFonts w:ascii="Arial" w:hAnsi="Arial"/>
        </w:rPr>
        <w:t>business</w:t>
      </w:r>
      <w:r w:rsidRPr="00621B9E">
        <w:rPr>
          <w:rFonts w:ascii="Aptos" w:hAnsi="Aptos"/>
        </w:rPr>
        <w:t xml:space="preserve"> analysis ​• Development</w:t>
      </w:r>
      <w:r>
        <w:t xml:space="preserve">of new </w:t>
      </w:r>
      <w:r w:rsidRPr="00621B9E">
        <w:rPr>
          <w:rFonts w:ascii="Aptos" w:hAnsi="Aptos"/>
        </w:rPr>
        <w:t>chargingpoints–</w:t>
      </w:r>
      <w:r>
        <w:t xml:space="preserve">11 multi-bay stations were built and commissioned; the first 6 standalone+ </w:t>
      </w:r>
      <w:r w:rsidRPr="00621B9E">
        <w:rPr>
          <w:rFonts w:ascii="Aptos" w:hAnsi="Aptos"/>
        </w:rPr>
        <w:t>charging</w:t>
      </w:r>
      <w:r>
        <w:t>stations were built and 5 stations at</w:t>
      </w:r>
      <w:r w:rsidRPr="00621B9E">
        <w:rPr>
          <w:rFonts w:ascii="Aptos" w:hAnsi="Aptos"/>
        </w:rPr>
        <w:t>former</w:t>
      </w:r>
      <w:r w:rsidRPr="00621B9E">
        <w:rPr>
          <w:rFonts w:ascii="Arial" w:hAnsi="Arial"/>
        </w:rPr>
        <w:t>LOTOS sites</w:t>
      </w:r>
      <w:r>
        <w:rPr>
          <w:rFonts w:ascii="Aptos" w:hAnsi="Aptos"/>
        </w:rPr>
        <w:t xml:space="preserve"> were commissioned​ • </w:t>
      </w:r>
      <w:r>
        <w:t>Product range and B2B/B2C</w:t>
      </w:r>
      <w:r w:rsidRPr="00621B9E">
        <w:rPr>
          <w:rFonts w:ascii="Aptos" w:hAnsi="Aptos"/>
        </w:rPr>
        <w:t>sales–</w:t>
      </w:r>
      <w:r>
        <w:t>a pricing strategy</w:t>
      </w:r>
      <w:r w:rsidRPr="00621B9E">
        <w:rPr>
          <w:rFonts w:ascii="Aptos" w:hAnsi="Aptos"/>
        </w:rPr>
        <w:t>for products</w:t>
      </w:r>
      <w:r>
        <w:t>and</w:t>
      </w:r>
      <w:r w:rsidRPr="00621B9E">
        <w:rPr>
          <w:rFonts w:ascii="Aptos" w:hAnsi="Aptos"/>
        </w:rPr>
        <w:t>serviceshas been drawn up</w:t>
      </w:r>
      <w:r>
        <w:t>; a draft</w:t>
      </w:r>
      <w:r w:rsidRPr="00621B9E">
        <w:rPr>
          <w:rFonts w:ascii="Aptos" w:hAnsi="Aptos"/>
        </w:rPr>
        <w:t>discount</w:t>
      </w:r>
      <w:r>
        <w:t>policy has been drawn up; roaming – an agreement with the intermediary DCS.</w:t>
      </w:r>
    </w:p>
    <w:p w:rsidR="00621B9E" w:rsidP="00621B9E" w:rsidRDefault="00621B9E" w14:paraId="02DD453C" w14:textId="77777777"/>
    <w:p w:rsidR="00621B9E" w:rsidP="00621B9E" w:rsidRDefault="00621B9E" w14:paraId="4118C709" w14:textId="0F2A5E28">
      <w:r>
        <w:t>The Programme’s key challenges over the next 3–6 months:</w:t>
      </w:r>
    </w:p>
    <w:p w:rsidRPr="00621B9E" w:rsidR="00621B9E" w:rsidP="00621B9E" w:rsidRDefault="00621B9E" w14:paraId="193E8024" w14:textId="77777777">
      <w:pPr>
        <w:pStyle w:val="Akapitzlist"/>
        <w:numPr>
          <w:ilvl w:val="0"/>
          <w:numId w:val="17"/>
        </w:numPr>
      </w:pPr>
      <w:r>
        <w:t>New central system – stabilisation and development of the ORLEN Charge module within the VITAY app, preparation of the test and production environments for the new central system</w:t>
      </w:r>
    </w:p>
    <w:p w:rsidR="00621B9E" w:rsidP="00621B9E" w:rsidRDefault="00621B9E" w14:paraId="5BB2AF55" w14:textId="3F8617DB">
      <w:pPr>
        <w:pStyle w:val="Akapitzlist"/>
        <w:numPr>
          <w:ilvl w:val="0"/>
          <w:numId w:val="17"/>
        </w:numPr>
      </w:pPr>
      <w:r w:rsidRPr="00621B9E">
        <w:rPr>
          <w:rFonts w:ascii="Aptos" w:hAnsi="Aptos"/>
        </w:rPr>
        <w:t>Development of</w:t>
      </w:r>
      <w:r>
        <w:t xml:space="preserve">new </w:t>
      </w:r>
      <w:r w:rsidRPr="00621B9E">
        <w:rPr>
          <w:rFonts w:ascii="Aptos" w:hAnsi="Aptos"/>
        </w:rPr>
        <w:t>chargingpoints– in</w:t>
      </w:r>
      <w:r>
        <w:t xml:space="preserve">2026, the launch of 40+ stand-alone </w:t>
      </w:r>
      <w:r w:rsidRPr="00621B9E">
        <w:rPr>
          <w:rFonts w:ascii="Aptos" w:hAnsi="Aptos"/>
        </w:rPr>
        <w:t>chargingpoints</w:t>
      </w:r>
      <w:r>
        <w:t>and 5 charging hubs, plus the construction of 10–12</w:t>
      </w:r>
      <w:r w:rsidRPr="00621B9E">
        <w:rPr>
          <w:rFonts w:ascii="Aptos" w:hAnsi="Aptos"/>
        </w:rPr>
        <w:t>hubs</w:t>
      </w:r>
      <w:r>
        <w:t>,</w:t>
      </w:r>
      <w:r w:rsidRPr="00621B9E">
        <w:rPr>
          <w:rFonts w:ascii="Aptos" w:hAnsi="Aptos"/>
        </w:rPr>
        <w:t xml:space="preserve"> whichwill be</w:t>
      </w:r>
      <w:r>
        <w:t xml:space="preserve"> launched in</w:t>
      </w:r>
      <w:r w:rsidRPr="00621B9E">
        <w:rPr>
          <w:rFonts w:ascii="Aptos" w:hAnsi="Aptos"/>
        </w:rPr>
        <w:t>early</w:t>
      </w:r>
      <w:r>
        <w:t xml:space="preserve">2027  </w:t>
      </w:r>
    </w:p>
    <w:p w:rsidR="00621B9E" w:rsidP="00621B9E" w:rsidRDefault="00621B9E" w14:paraId="48DCD9CC" w14:textId="5D984A60">
      <w:pPr>
        <w:pStyle w:val="Akapitzlist"/>
        <w:numPr>
          <w:ilvl w:val="0"/>
          <w:numId w:val="17"/>
        </w:numPr>
      </w:pPr>
      <w:r>
        <w:t>The aim is to expand to 5000 charging points in overseas markets</w:t>
      </w:r>
    </w:p>
    <w:p w:rsidR="00621B9E" w:rsidP="00621B9E" w:rsidRDefault="00621B9E" w14:paraId="0A970343" w14:textId="1BB5BD4F">
      <w:pPr>
        <w:pStyle w:val="Akapitzlist"/>
        <w:numPr>
          <w:ilvl w:val="0"/>
          <w:numId w:val="17"/>
        </w:numPr>
      </w:pPr>
      <w:r>
        <w:t>Product range and B2B/B2C</w:t>
      </w:r>
      <w:r w:rsidRPr="00621B9E">
        <w:rPr>
          <w:rFonts w:ascii="Aptos" w:hAnsi="Aptos"/>
        </w:rPr>
        <w:t>sales</w:t>
      </w:r>
      <w:r>
        <w:rPr>
          <w:rFonts w:ascii="Aptos" w:hAnsi="Aptos"/>
        </w:rPr>
        <w:t xml:space="preserve">– </w:t>
      </w:r>
      <w:r>
        <w:t xml:space="preserve">eFlota segmentation </w:t>
      </w:r>
    </w:p>
    <w:p w:rsidR="00621B9E" w:rsidP="00621B9E" w:rsidRDefault="00621B9E" w14:paraId="5A39D8C2" w14:textId="77777777">
      <w:pPr>
        <w:rPr>
          <w:b/>
          <w:bCs/>
        </w:rPr>
      </w:pPr>
    </w:p>
    <w:p w:rsidR="00621B9E" w:rsidP="00621B9E" w:rsidRDefault="00621B9E" w14:paraId="0D76E030" w14:textId="00E73E03">
      <w:r>
        <w:rPr>
          <w:b/>
        </w:rPr>
        <w:t>Strategic hypothesis:</w:t>
      </w:r>
      <w:r>
        <w:t xml:space="preserve"> The direction set out in the Strategy should be maintained, and the active development of the electric vehicle charging network in Poland should continue, whilst the international network should be expanded by 5000 EV charging points in the following countries (Germany, Austria, the Czech Republic, Slovakia, Lithuania and Hungary)</w:t>
      </w:r>
    </w:p>
    <w:p w:rsidR="00621B9E" w:rsidP="00621B9E" w:rsidRDefault="00621B9E" w14:paraId="3D66C348" w14:textId="77777777"/>
    <w:p w:rsidR="00621B9E" w:rsidP="0FFA3208" w:rsidRDefault="00621B9E" w14:paraId="0605F5C9" w14:textId="7E6654D9">
      <w:r>
        <w:t>Strategic questions, answers derived from a workshop with the leader of the strategic initiative, and consultation with the business segment sponsor:</w:t>
      </w:r>
    </w:p>
    <w:p w:rsidR="00621B9E" w:rsidP="00F32694" w:rsidRDefault="00621B9E" w14:paraId="0917C655" w14:textId="2E28CFCB">
      <w:pPr>
        <w:pStyle w:val="Akapitzlist"/>
        <w:numPr>
          <w:ilvl w:val="0"/>
          <w:numId w:val="18"/>
        </w:numPr>
      </w:pPr>
      <w:r>
        <w:t>Does ORLEN continue to hold a unique competitive advantage in terms of the future expansion of its charging network in terms of its network of locations?</w:t>
      </w:r>
    </w:p>
    <w:p w:rsidR="00621B9E" w:rsidP="00F32694" w:rsidRDefault="00621B9E" w14:paraId="77E14F82" w14:textId="671FC7BB">
      <w:pPr>
        <w:ind w:left="360"/>
        <w:rPr>
          <w:i/>
          <w:iCs/>
        </w:rPr>
      </w:pPr>
      <w:r>
        <w:rPr>
          <w:i/>
        </w:rPr>
        <w:t>YES, ORLEN has an extensive network of locations in the public transit charging market; its main competitors in the field of electromobility (e.g. Greenway, Ekoen) still have to pay rent for locations at service stations or on greenfield sites; and traditional fuel competitors are not making a significant entry into the Polish market</w:t>
      </w:r>
    </w:p>
    <w:p w:rsidR="00F32694" w:rsidP="00621B9E" w:rsidRDefault="00F32694" w14:paraId="40C9E3DB" w14:textId="77777777">
      <w:pPr>
        <w:rPr>
          <w:i/>
          <w:iCs/>
        </w:rPr>
      </w:pPr>
    </w:p>
    <w:p w:rsidR="00F32694" w:rsidP="00F32694" w:rsidRDefault="00F32694" w14:paraId="08804821" w14:textId="4B1A59B8">
      <w:pPr>
        <w:pStyle w:val="Akapitzlist"/>
        <w:numPr>
          <w:ilvl w:val="0"/>
          <w:numId w:val="18"/>
        </w:numPr>
      </w:pPr>
      <w:r>
        <w:t xml:space="preserve">Does ORLEN still maintain a unique competitive advantage in terms of the future development of its charging network with regard to its convenience offering (shop&amp;gastro)? </w:t>
      </w:r>
    </w:p>
    <w:p w:rsidR="00F32694" w:rsidP="00F32694" w:rsidRDefault="00F32694" w14:paraId="4B5A2736" w14:textId="3F3ACDAE">
      <w:pPr>
        <w:ind w:left="360"/>
        <w:rPr>
          <w:i/>
          <w:iCs/>
        </w:rPr>
      </w:pPr>
      <w:r>
        <w:rPr>
          <w:i/>
        </w:rPr>
        <w:t>YES, ORLEN, with its Stop Cafe and existing service station infrastructure, continues to hold the advantage in terms of synergies from non-fuel sales – as well as from a customer-focused perspective, offering a way to spend time or take a break whilst charging. None of emobility’s main competitors are developing ‘shop &amp; gastro’ concepts; they have greenfield sites, and their presence at Category I motorway service areas means there are no shops there</w:t>
      </w:r>
    </w:p>
    <w:p w:rsidR="00F32694" w:rsidP="00621B9E" w:rsidRDefault="00F32694" w14:paraId="7C327531" w14:textId="77777777">
      <w:pPr>
        <w:rPr>
          <w:i/>
          <w:iCs/>
        </w:rPr>
      </w:pPr>
    </w:p>
    <w:p w:rsidR="00F32694" w:rsidP="00F32694" w:rsidRDefault="00F32694" w14:paraId="03F32D59" w14:textId="779BD115">
      <w:pPr>
        <w:pStyle w:val="Akapitzlist"/>
        <w:numPr>
          <w:ilvl w:val="0"/>
          <w:numId w:val="18"/>
        </w:numPr>
      </w:pPr>
      <w:r>
        <w:t>Since the Strategy was drawn up, has the electromobility market in Poland been developing in line with the strategic objectives (number of registered EVs, volume of energy sold to EVs)?</w:t>
      </w:r>
    </w:p>
    <w:p w:rsidR="00F32694" w:rsidP="00F32694" w:rsidRDefault="00F32694" w14:paraId="33D68D9D" w14:textId="5D00FD43">
      <w:pPr>
        <w:ind w:left="360"/>
        <w:rPr>
          <w:i/>
          <w:iCs/>
        </w:rPr>
      </w:pPr>
      <w:r>
        <w:rPr>
          <w:i/>
        </w:rPr>
        <w:t>The EV market is performing slightly better than we had anticipated (the forecast for registered EVs was 100 000 in 2025, whilst the actual figure was 115 000); our network’s market share targets are being exceeded (a target of 5.0% share of energy sold in 2025 versus an actual figure of 6.5%); fast-charging hubs are handling high volumes, which confirms the direction of growth</w:t>
      </w:r>
    </w:p>
    <w:p w:rsidR="00F32694" w:rsidP="00F32694" w:rsidRDefault="00F32694" w14:paraId="44C508F2" w14:textId="77777777">
      <w:pPr>
        <w:ind w:left="360"/>
        <w:rPr>
          <w:i/>
          <w:iCs/>
        </w:rPr>
      </w:pPr>
    </w:p>
    <w:p w:rsidR="00F32694" w:rsidP="00F32694" w:rsidRDefault="00F32694" w14:paraId="31A5E8E9" w14:textId="778234A4">
      <w:pPr>
        <w:pStyle w:val="Akapitzlist"/>
        <w:numPr>
          <w:ilvl w:val="0"/>
          <w:numId w:val="18"/>
        </w:numPr>
      </w:pPr>
      <w:r>
        <w:t>Have any markets been identified that would be attractive from the perspective of developing EV charging infrastructure?</w:t>
      </w:r>
    </w:p>
    <w:p w:rsidR="00D43D54" w:rsidP="00F32694" w:rsidRDefault="00F32694" w14:paraId="6D2F2F3E" w14:textId="5488547D">
      <w:pPr>
        <w:ind w:left="360"/>
        <w:rPr>
          <w:i/>
          <w:iCs/>
        </w:rPr>
      </w:pPr>
      <w:r>
        <w:rPr>
          <w:i/>
        </w:rPr>
        <w:t>We want to focus on the markets where we operate in the fuel sector; of these, Germany, Austria, the Czech Republic and Slovakia are particularly attractive; Lithuania and Hungary do not currently offer sufficient potential; expansion in Austria depends on strategic decisions regarding our presence in the retail market.</w:t>
      </w:r>
    </w:p>
    <w:p w:rsidR="00F32694" w:rsidP="00F32694" w:rsidRDefault="00F32694" w14:paraId="5A9B314E" w14:textId="77777777">
      <w:pPr>
        <w:ind w:left="360"/>
        <w:rPr>
          <w:i/>
          <w:iCs/>
        </w:rPr>
      </w:pPr>
    </w:p>
    <w:p w:rsidR="00F32694" w:rsidP="00F32694" w:rsidRDefault="00F32694" w14:paraId="5D15CFCE" w14:textId="5C17E3C7">
      <w:pPr>
        <w:pStyle w:val="Akapitzlist"/>
        <w:numPr>
          <w:ilvl w:val="0"/>
          <w:numId w:val="18"/>
        </w:numPr>
      </w:pPr>
      <w:r>
        <w:lastRenderedPageBreak/>
        <w:t>Does the competitive environment in the identified foreign markets leave room for a player such as ORLEN to strengthen its presence?</w:t>
      </w:r>
    </w:p>
    <w:p w:rsidR="00F32694" w:rsidP="00F32694" w:rsidRDefault="00F32694" w14:paraId="00C17802" w14:textId="535F7617">
      <w:pPr>
        <w:rPr>
          <w:i/>
          <w:iCs/>
        </w:rPr>
      </w:pPr>
      <w:r>
        <w:rPr>
          <w:i/>
        </w:rPr>
        <w:t>Germany and Austria are mature electromobility markets where we should have a presence, as there is scope for growth there, but we will no longer be able to establish ourselves as a leading player (due to the scale and high level of competition in the market – for example, in Germany, 40-point hubs are popular; the scale is enormous). The Czech Republic and Slovakia are emerging markets where our competitive advantages are similar to those in Poland, and we will be able to establish ourselves as a leading player there.</w:t>
      </w:r>
    </w:p>
    <w:p w:rsidR="00BB6947" w:rsidP="00F32694" w:rsidRDefault="00BB6947" w14:paraId="58956C97" w14:textId="77777777">
      <w:pPr>
        <w:rPr>
          <w:i/>
          <w:iCs/>
        </w:rPr>
      </w:pPr>
    </w:p>
    <w:p w:rsidRPr="00BB6947" w:rsidR="00BB6947" w:rsidP="00BB6947" w:rsidRDefault="00BB6947" w14:paraId="2D7F58FA" w14:textId="488F40DC">
      <w:pPr>
        <w:pStyle w:val="Akapitzlist"/>
        <w:numPr>
          <w:ilvl w:val="0"/>
          <w:numId w:val="18"/>
        </w:numPr>
      </w:pPr>
      <w:r>
        <w:t>What is the financial potential arising from infrastructure development in foreign markets, and the corresponding capital expenditure?</w:t>
      </w:r>
    </w:p>
    <w:p w:rsidRPr="00BB6947" w:rsidR="00BB6947" w:rsidP="00BB6947" w:rsidRDefault="00BB6947" w14:paraId="6D52E224" w14:textId="396DD6D2">
      <w:pPr>
        <w:ind w:left="360"/>
        <w:rPr>
          <w:i/>
          <w:iCs/>
        </w:rPr>
      </w:pPr>
      <w:r>
        <w:rPr>
          <w:i/>
        </w:rPr>
        <w:t>Based on the results of the Operationalisation programme – c. 10k charging points instead of 5k; in the final year of the strategy, the expansion into foreign markets is expected to contribute approximately PLN 300 million to EBITDA; but this will also entail higher CAPEX expenditure</w:t>
      </w:r>
    </w:p>
    <w:p w:rsidR="009A180E" w:rsidP="00056415" w:rsidRDefault="009A180E" w14:paraId="335D9213" w14:textId="4A31E188">
      <w:pPr>
        <w:rPr>
          <w:rFonts w:ascii="Arial" w:hAnsi="Arial" w:cs="Arial"/>
          <w:i/>
          <w:iCs/>
          <w:smallCaps/>
          <w:color w:val="171717" w:themeColor="background2" w:themeShade="1A"/>
          <w:sz w:val="36"/>
          <w:szCs w:val="36"/>
        </w:rPr>
      </w:pPr>
    </w:p>
    <w:p w:rsidR="00BB6947" w:rsidP="00056415" w:rsidRDefault="00BB6947" w14:paraId="6550A225" w14:textId="4BCE03A4">
      <w:pPr>
        <w:rPr>
          <w:rFonts w:ascii="Arial" w:hAnsi="Arial" w:cs="Arial"/>
          <w:i/>
          <w:iCs/>
          <w:smallCaps/>
          <w:color w:val="171717" w:themeColor="background2" w:themeShade="1A"/>
          <w:sz w:val="36"/>
          <w:szCs w:val="36"/>
        </w:rPr>
      </w:pPr>
      <w:r>
        <w:rPr>
          <w:rFonts w:ascii="Arial" w:hAnsi="Arial"/>
          <w:i/>
          <w:smallCaps/>
          <w:color w:val="171717" w:themeColor="background2" w:themeShade="1A"/>
          <w:sz w:val="36"/>
        </w:rPr>
        <w:t>Strategic recommendation:</w:t>
      </w:r>
    </w:p>
    <w:p w:rsidR="00BB6947" w:rsidP="00BB6947" w:rsidRDefault="00BB6947" w14:paraId="68ECD821" w14:textId="3BFC186A">
      <w:pPr>
        <w:ind w:left="360"/>
        <w:rPr>
          <w:i/>
          <w:iCs/>
        </w:rPr>
      </w:pPr>
      <w:r>
        <w:rPr>
          <w:i/>
        </w:rPr>
        <w:t>The R3 Initiative should be expanded to include strategic objectives for foreign markets; investigate the 3000, 5000 and 7000 EV point levels</w:t>
      </w:r>
    </w:p>
    <w:p w:rsidR="00BB6947" w:rsidP="00BB6947" w:rsidRDefault="00BB6947" w14:paraId="6A7BC6C1" w14:textId="77777777">
      <w:pPr>
        <w:ind w:left="360"/>
        <w:rPr>
          <w:i/>
          <w:iCs/>
        </w:rPr>
      </w:pPr>
      <w:r>
        <w:rPr>
          <w:i/>
        </w:rPr>
        <w:t xml:space="preserve">•  A dedicated project identified four high-potential markets (DE, AT, CZ, SK) </w:t>
      </w:r>
    </w:p>
    <w:p w:rsidR="00BB6947" w:rsidP="00BB6947" w:rsidRDefault="00BB6947" w14:paraId="434E04E9" w14:textId="024559AE">
      <w:pPr>
        <w:ind w:left="360"/>
        <w:rPr>
          <w:i/>
          <w:iCs/>
        </w:rPr>
      </w:pPr>
      <w:r>
        <w:rPr>
          <w:i/>
        </w:rPr>
        <w:t>•  Optimal targets have been set for international markets (c. +5000 charging points) in the DE, CZ and SK markets</w:t>
      </w:r>
    </w:p>
    <w:p w:rsidR="004240B2" w:rsidP="004240B2" w:rsidRDefault="00BB6947" w14:paraId="6E746A99" w14:textId="77777777">
      <w:pPr>
        <w:ind w:left="360"/>
        <w:rPr>
          <w:i/>
          <w:iCs/>
        </w:rPr>
      </w:pPr>
      <w:r>
        <w:rPr>
          <w:i/>
        </w:rPr>
        <w:t>•  Alongside the international targets, the financial impact on EBITDA (PLN 300 million) and CAPEX (PLN 2 billion) has been reviewed</w:t>
      </w:r>
    </w:p>
    <w:p w:rsidR="004240B2" w:rsidP="004240B2" w:rsidRDefault="004240B2" w14:paraId="6DD3C921" w14:textId="52ADB6A6">
      <w:pPr>
        <w:ind w:left="360"/>
        <w:rPr>
          <w:i/>
          <w:iCs/>
        </w:rPr>
      </w:pPr>
      <w:r>
        <w:rPr>
          <w:i/>
        </w:rPr>
        <w:t>To achieve, by 2035, a share of the energy supplied to electric vehicles on the public charging market, through a specific network of charging points: Poland: ~35% share, 7000 charging points (CP); Germany: ~5% share, 2000 CP; Czech Republic: 2000 CP, ~24% share; Slovakia: 20% share, 1000 CP</w:t>
      </w:r>
    </w:p>
    <w:p w:rsidR="004240B2" w:rsidP="004240B2" w:rsidRDefault="004240B2" w14:paraId="05D9ECF8" w14:textId="77777777">
      <w:pPr>
        <w:ind w:left="360"/>
        <w:rPr>
          <w:i/>
          <w:iCs/>
        </w:rPr>
      </w:pPr>
    </w:p>
    <w:p w:rsidR="004240B2" w:rsidP="004240B2" w:rsidRDefault="004240B2" w14:paraId="0EFD127E" w14:textId="121E093F">
      <w:pPr>
        <w:ind w:left="360"/>
        <w:rPr>
          <w:b/>
          <w:bCs/>
          <w:i/>
          <w:iCs/>
        </w:rPr>
      </w:pPr>
      <w:r>
        <w:rPr>
          <w:b/>
          <w:i/>
        </w:rPr>
        <w:t>Updated Strategic KPIs:</w:t>
      </w:r>
    </w:p>
    <w:p w:rsidR="004240B2" w:rsidP="004240B2" w:rsidRDefault="004240B2" w14:paraId="5AAC0FF4" w14:textId="2917665C">
      <w:pPr>
        <w:ind w:left="360"/>
        <w:rPr>
          <w:b/>
          <w:bCs/>
          <w:i/>
          <w:iCs/>
        </w:rPr>
      </w:pPr>
      <w:r>
        <w:rPr>
          <w:b/>
          <w:i/>
        </w:rPr>
        <w:t>Number of fast-charging points in the Group (#)</w:t>
      </w:r>
    </w:p>
    <w:p w:rsidR="004240B2" w:rsidP="004240B2" w:rsidRDefault="004240B2" w14:paraId="0A10BB1F" w14:textId="1DF579FB">
      <w:pPr>
        <w:pStyle w:val="Akapitzlist"/>
        <w:numPr>
          <w:ilvl w:val="0"/>
          <w:numId w:val="21"/>
        </w:numPr>
        <w:rPr>
          <w:i/>
          <w:iCs/>
        </w:rPr>
      </w:pPr>
      <w:r>
        <w:rPr>
          <w:i/>
        </w:rPr>
        <w:t>2035 Recommendation regarding the revision of target 12,000</w:t>
      </w:r>
    </w:p>
    <w:p w:rsidR="004240B2" w:rsidP="004240B2" w:rsidRDefault="004240B2" w14:paraId="7ACB9CA9" w14:textId="5C0BE316">
      <w:pPr>
        <w:pStyle w:val="Akapitzlist"/>
        <w:numPr>
          <w:ilvl w:val="0"/>
          <w:numId w:val="21"/>
        </w:numPr>
        <w:rPr>
          <w:i/>
          <w:iCs/>
        </w:rPr>
      </w:pPr>
      <w:r>
        <w:rPr>
          <w:i/>
        </w:rPr>
        <w:t>CAPEX 2026–2035 (PLN 4.5 billion: PLN 2.5 billion in Poland, PLN 2 billion abroad)</w:t>
      </w:r>
    </w:p>
    <w:p w:rsidRPr="004240B2" w:rsidR="004240B2" w:rsidP="004240B2" w:rsidRDefault="004240B2" w14:paraId="33F04051" w14:textId="35AB3604">
      <w:pPr>
        <w:pStyle w:val="Akapitzlist"/>
        <w:numPr>
          <w:ilvl w:val="0"/>
          <w:numId w:val="21"/>
        </w:numPr>
        <w:rPr>
          <w:i/>
          <w:iCs/>
        </w:rPr>
      </w:pPr>
      <w:r>
        <w:rPr>
          <w:i/>
        </w:rPr>
        <w:t>EBITDA 2026–2035 (PLN 3.2 billion)</w:t>
      </w:r>
    </w:p>
    <w:p w:rsidR="004240B2" w:rsidP="004240B2" w:rsidRDefault="004240B2" w14:paraId="73ABF8F7" w14:textId="5C3A4E11">
      <w:pPr>
        <w:ind w:left="360"/>
        <w:rPr>
          <w:i/>
          <w:iCs/>
        </w:rPr>
      </w:pPr>
      <w:r>
        <w:rPr>
          <w:i/>
        </w:rPr>
        <w:t>Reasons for revising / amending / retaining the objective</w:t>
      </w:r>
    </w:p>
    <w:p w:rsidR="004240B2" w:rsidP="004240B2" w:rsidRDefault="004240B2" w14:paraId="0E8CD04C" w14:textId="4AA5AC5C">
      <w:pPr>
        <w:ind w:left="360"/>
        <w:rPr>
          <w:i/>
          <w:iCs/>
        </w:rPr>
      </w:pPr>
      <w:r>
        <w:rPr>
          <w:i/>
        </w:rPr>
        <w:t xml:space="preserve">o Update to the Strategy for the Group’s Companies (Germany, the Czech Republic and Slovakia) – a revision of the strategy resulting from overly optimistic assumptions regarding </w:t>
      </w:r>
      <w:r>
        <w:rPr>
          <w:i/>
        </w:rPr>
        <w:lastRenderedPageBreak/>
        <w:t>electricity prices, as well as an extension of the time horizon to 2035 o Revision of assumptions and extension of the time horizon for the Czech Republic and Slovakia</w:t>
      </w:r>
    </w:p>
    <w:p w:rsidR="004240B2" w:rsidP="004240B2" w:rsidRDefault="004240B2" w14:paraId="26B5CE25" w14:textId="77777777">
      <w:pPr>
        <w:ind w:left="360"/>
        <w:rPr>
          <w:i/>
          <w:iCs/>
        </w:rPr>
      </w:pPr>
    </w:p>
    <w:p w:rsidR="004240B2" w:rsidP="004240B2" w:rsidRDefault="004240B2" w14:paraId="790C882F" w14:textId="5C058DC7">
      <w:pPr>
        <w:ind w:left="360"/>
        <w:rPr>
          <w:i/>
          <w:iCs/>
        </w:rPr>
      </w:pPr>
      <w:r>
        <w:rPr>
          <w:i/>
        </w:rPr>
        <w:t>Key success factors</w:t>
      </w:r>
    </w:p>
    <w:p w:rsidR="004240B2" w:rsidP="004240B2" w:rsidRDefault="004240B2" w14:paraId="1FD28767" w14:textId="3BCBFE26">
      <w:pPr>
        <w:ind w:left="360"/>
        <w:rPr>
          <w:i/>
          <w:iCs/>
        </w:rPr>
      </w:pPr>
      <w:r>
        <w:rPr>
          <w:i/>
        </w:rPr>
        <w:t>High-power multi-point charging hubs – A network of charging stations primarily located at the Group’s own petrol stations, equipped with toilet and catering facilities. o Proprietary backend system o The</w:t>
      </w:r>
      <w:r w:rsidR="004B30FA">
        <w:rPr>
          <w:i/>
        </w:rPr>
        <w:t xml:space="preserve"> </w:t>
      </w:r>
      <w:r>
        <w:rPr>
          <w:i/>
        </w:rPr>
        <w:t>volume achieved at charging stations has a positive impact on the Group’s achievement of the NCW target</w:t>
      </w:r>
    </w:p>
    <w:p w:rsidR="004240B2" w:rsidP="004240B2" w:rsidRDefault="004240B2" w14:paraId="24640E00" w14:textId="77777777">
      <w:pPr>
        <w:ind w:left="360"/>
        <w:rPr>
          <w:i/>
          <w:iCs/>
        </w:rPr>
      </w:pPr>
    </w:p>
    <w:p w:rsidR="004240B2" w:rsidP="004240B2" w:rsidRDefault="004240B2" w14:paraId="6902E947" w14:textId="77777777">
      <w:pPr>
        <w:ind w:left="360"/>
        <w:rPr>
          <w:i/>
          <w:iCs/>
        </w:rPr>
      </w:pPr>
      <w:r>
        <w:rPr>
          <w:i/>
        </w:rPr>
        <w:t>Risks</w:t>
      </w:r>
    </w:p>
    <w:p w:rsidR="004240B2" w:rsidP="004240B2" w:rsidRDefault="004240B2" w14:paraId="62D0CCC2" w14:textId="77777777">
      <w:pPr>
        <w:ind w:left="360"/>
        <w:rPr>
          <w:i/>
          <w:iCs/>
        </w:rPr>
      </w:pPr>
      <w:r>
        <w:rPr>
          <w:i/>
        </w:rPr>
        <w:t xml:space="preserve">Extension of the timeframe for the installation of electricity connections </w:t>
      </w:r>
    </w:p>
    <w:p w:rsidR="004240B2" w:rsidP="004240B2" w:rsidRDefault="004240B2" w14:paraId="2679F3F9" w14:textId="77777777">
      <w:pPr>
        <w:ind w:left="360"/>
        <w:rPr>
          <w:i/>
          <w:iCs/>
        </w:rPr>
      </w:pPr>
      <w:r>
        <w:rPr>
          <w:i/>
        </w:rPr>
        <w:t xml:space="preserve">o Slower-than-expected growth in the EV market </w:t>
      </w:r>
    </w:p>
    <w:p w:rsidRPr="004240B2" w:rsidR="004240B2" w:rsidP="004240B2" w:rsidRDefault="004240B2" w14:paraId="38FE87C5" w14:textId="7F4C2024">
      <w:pPr>
        <w:ind w:left="360"/>
        <w:rPr>
          <w:i/>
          <w:iCs/>
        </w:rPr>
      </w:pPr>
      <w:r>
        <w:rPr>
          <w:i/>
        </w:rPr>
        <w:t>o Lower-than-expected utilisation o Rise in energy costs</w:t>
      </w:r>
    </w:p>
    <w:p w:rsidRPr="00F95BD8" w:rsidR="00BB6947" w:rsidP="00056415" w:rsidRDefault="00BB6947" w14:paraId="2470B607" w14:textId="77777777">
      <w:pPr>
        <w:rPr>
          <w:rFonts w:ascii="Arial" w:hAnsi="Arial" w:cs="Arial"/>
          <w:i/>
          <w:iCs/>
          <w:smallCaps/>
          <w:color w:val="171717" w:themeColor="background2" w:themeShade="1A"/>
          <w:sz w:val="36"/>
          <w:szCs w:val="36"/>
        </w:rPr>
      </w:pPr>
    </w:p>
    <w:p w:rsidR="0008029C" w:rsidRDefault="004240B2" w14:paraId="029F325B" w14:textId="56C1AB51">
      <w:r>
        <w:t>Implementation tools:</w:t>
      </w:r>
    </w:p>
    <w:p w:rsidR="004240B2" w:rsidP="004240B2" w:rsidRDefault="004240B2" w14:paraId="5AB8E3D3" w14:textId="6803F334">
      <w:pPr>
        <w:pStyle w:val="Akapitzlist"/>
        <w:numPr>
          <w:ilvl w:val="0"/>
          <w:numId w:val="22"/>
        </w:numPr>
      </w:pPr>
      <w:r>
        <w:t>ORLEN’s e-mobility locations – development projects</w:t>
      </w:r>
    </w:p>
    <w:p w:rsidRPr="00F95BD8" w:rsidR="004240B2" w:rsidP="004240B2" w:rsidRDefault="004240B2" w14:paraId="4BF72E4C" w14:textId="19C1CEA1">
      <w:pPr>
        <w:pStyle w:val="Akapitzlist"/>
        <w:numPr>
          <w:ilvl w:val="0"/>
          <w:numId w:val="22"/>
        </w:numPr>
      </w:pPr>
      <w:r>
        <w:t>M&amp;A abroad</w:t>
      </w:r>
    </w:p>
    <w:sectPr w:rsidRPr="00F95BD8" w:rsidR="004240B2">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5522" w:rsidP="00D43D54" w:rsidRDefault="00C75522" w14:paraId="4237BD81" w14:textId="77777777">
      <w:pPr>
        <w:spacing w:after="0" w:line="240" w:lineRule="auto"/>
      </w:pPr>
      <w:r>
        <w:separator/>
      </w:r>
    </w:p>
  </w:endnote>
  <w:endnote w:type="continuationSeparator" w:id="0">
    <w:p w:rsidR="00C75522" w:rsidP="00D43D54" w:rsidRDefault="00C75522" w14:paraId="61A300F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5522" w:rsidP="00D43D54" w:rsidRDefault="00C75522" w14:paraId="4AA38D47" w14:textId="77777777">
      <w:pPr>
        <w:spacing w:after="0" w:line="240" w:lineRule="auto"/>
      </w:pPr>
      <w:r>
        <w:separator/>
      </w:r>
    </w:p>
  </w:footnote>
  <w:footnote w:type="continuationSeparator" w:id="0">
    <w:p w:rsidR="00C75522" w:rsidP="00D43D54" w:rsidRDefault="00C75522" w14:paraId="7AE6A038"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51F"/>
    <w:multiLevelType w:val="hybridMultilevel"/>
    <w:tmpl w:val="72A809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65509"/>
    <w:multiLevelType w:val="multilevel"/>
    <w:tmpl w:val="0BB8CE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8EE3077"/>
    <w:multiLevelType w:val="hybridMultilevel"/>
    <w:tmpl w:val="F60A819E"/>
    <w:lvl w:ilvl="0" w:tplc="04150001">
      <w:start w:val="1"/>
      <w:numFmt w:val="bullet"/>
      <w:lvlText w:val=""/>
      <w:lvlJc w:val="left"/>
      <w:pPr>
        <w:ind w:left="1080" w:hanging="360"/>
      </w:pPr>
      <w:rPr>
        <w:rFonts w:hint="default" w:ascii="Symbol" w:hAnsi="Symbol"/>
      </w:rPr>
    </w:lvl>
    <w:lvl w:ilvl="1" w:tplc="04150003" w:tentative="1">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3" w15:restartNumberingAfterBreak="0">
    <w:nsid w:val="0EC96CD1"/>
    <w:multiLevelType w:val="multilevel"/>
    <w:tmpl w:val="4C942BB2"/>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F637F02"/>
    <w:multiLevelType w:val="hybridMultilevel"/>
    <w:tmpl w:val="DD5821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890638"/>
    <w:multiLevelType w:val="multilevel"/>
    <w:tmpl w:val="94B8D3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4B499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7A0540"/>
    <w:multiLevelType w:val="hybridMultilevel"/>
    <w:tmpl w:val="0FC41716"/>
    <w:lvl w:ilvl="0" w:tplc="04150001">
      <w:start w:val="1"/>
      <w:numFmt w:val="bullet"/>
      <w:lvlText w:val=""/>
      <w:lvlJc w:val="left"/>
      <w:pPr>
        <w:ind w:left="1080" w:hanging="360"/>
      </w:pPr>
      <w:rPr>
        <w:rFonts w:hint="default" w:ascii="Symbol" w:hAnsi="Symbol"/>
      </w:rPr>
    </w:lvl>
    <w:lvl w:ilvl="1" w:tplc="04150003" w:tentative="1">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8" w15:restartNumberingAfterBreak="0">
    <w:nsid w:val="3E5A4DB1"/>
    <w:multiLevelType w:val="hybridMultilevel"/>
    <w:tmpl w:val="A20AD5A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4C9F280D"/>
    <w:multiLevelType w:val="multilevel"/>
    <w:tmpl w:val="5088CA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566F196A"/>
    <w:multiLevelType w:val="hybridMultilevel"/>
    <w:tmpl w:val="6F0801D0"/>
    <w:lvl w:ilvl="0" w:tplc="0415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7EB110C"/>
    <w:multiLevelType w:val="hybridMultilevel"/>
    <w:tmpl w:val="4642DF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190118"/>
    <w:multiLevelType w:val="hybridMultilevel"/>
    <w:tmpl w:val="DD5821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957874"/>
    <w:multiLevelType w:val="hybridMultilevel"/>
    <w:tmpl w:val="9CEA66E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4" w15:restartNumberingAfterBreak="0">
    <w:nsid w:val="60393657"/>
    <w:multiLevelType w:val="multilevel"/>
    <w:tmpl w:val="F148D8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06131F9"/>
    <w:multiLevelType w:val="hybridMultilevel"/>
    <w:tmpl w:val="AE9E89A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610A75BB"/>
    <w:multiLevelType w:val="multilevel"/>
    <w:tmpl w:val="953A62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3087C76"/>
    <w:multiLevelType w:val="multilevel"/>
    <w:tmpl w:val="1E4EDF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6481B6C"/>
    <w:multiLevelType w:val="multilevel"/>
    <w:tmpl w:val="618CA2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B5B435A"/>
    <w:multiLevelType w:val="hybridMultilevel"/>
    <w:tmpl w:val="AAAC2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C234D8"/>
    <w:multiLevelType w:val="multilevel"/>
    <w:tmpl w:val="F4A621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485512512">
    <w:abstractNumId w:val="0"/>
  </w:num>
  <w:num w:numId="2" w16cid:durableId="74132433">
    <w:abstractNumId w:val="19"/>
  </w:num>
  <w:num w:numId="3" w16cid:durableId="1724599701">
    <w:abstractNumId w:val="6"/>
  </w:num>
  <w:num w:numId="4" w16cid:durableId="596989438">
    <w:abstractNumId w:val="9"/>
  </w:num>
  <w:num w:numId="5" w16cid:durableId="972976819">
    <w:abstractNumId w:val="16"/>
  </w:num>
  <w:num w:numId="6" w16cid:durableId="148910425">
    <w:abstractNumId w:val="1"/>
  </w:num>
  <w:num w:numId="7" w16cid:durableId="1535653307">
    <w:abstractNumId w:val="18"/>
  </w:num>
  <w:num w:numId="8" w16cid:durableId="631400897">
    <w:abstractNumId w:val="15"/>
  </w:num>
  <w:num w:numId="9" w16cid:durableId="1951273586">
    <w:abstractNumId w:val="3"/>
  </w:num>
  <w:num w:numId="10" w16cid:durableId="827207781">
    <w:abstractNumId w:val="17"/>
  </w:num>
  <w:num w:numId="11" w16cid:durableId="967013409">
    <w:abstractNumId w:val="14"/>
  </w:num>
  <w:num w:numId="12" w16cid:durableId="938870884">
    <w:abstractNumId w:val="20"/>
  </w:num>
  <w:num w:numId="13" w16cid:durableId="1325815633">
    <w:abstractNumId w:val="4"/>
  </w:num>
  <w:num w:numId="14" w16cid:durableId="698626917">
    <w:abstractNumId w:val="12"/>
  </w:num>
  <w:num w:numId="15" w16cid:durableId="673533759">
    <w:abstractNumId w:val="5"/>
  </w:num>
  <w:num w:numId="16" w16cid:durableId="1810592616">
    <w:abstractNumId w:val="5"/>
    <w:lvlOverride w:ilvl="1">
      <w:lvl w:ilvl="1">
        <w:numFmt w:val="decimal"/>
        <w:lvlText w:val="%2."/>
        <w:lvlJc w:val="left"/>
      </w:lvl>
    </w:lvlOverride>
  </w:num>
  <w:num w:numId="17" w16cid:durableId="357589360">
    <w:abstractNumId w:val="13"/>
  </w:num>
  <w:num w:numId="18" w16cid:durableId="1064337229">
    <w:abstractNumId w:val="11"/>
  </w:num>
  <w:num w:numId="19" w16cid:durableId="293872735">
    <w:abstractNumId w:val="2"/>
  </w:num>
  <w:num w:numId="20" w16cid:durableId="1294217283">
    <w:abstractNumId w:val="7"/>
  </w:num>
  <w:num w:numId="21" w16cid:durableId="1044870266">
    <w:abstractNumId w:val="10"/>
  </w:num>
  <w:num w:numId="22" w16cid:durableId="1885822162">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415"/>
    <w:rsid w:val="00056415"/>
    <w:rsid w:val="0008029C"/>
    <w:rsid w:val="00095CD1"/>
    <w:rsid w:val="000B2B94"/>
    <w:rsid w:val="000B4190"/>
    <w:rsid w:val="000F4D7F"/>
    <w:rsid w:val="00122E17"/>
    <w:rsid w:val="00183279"/>
    <w:rsid w:val="00230E61"/>
    <w:rsid w:val="002C7CD8"/>
    <w:rsid w:val="003C2629"/>
    <w:rsid w:val="004240B2"/>
    <w:rsid w:val="004271AB"/>
    <w:rsid w:val="00445D8C"/>
    <w:rsid w:val="00456F38"/>
    <w:rsid w:val="00462A4C"/>
    <w:rsid w:val="00494B39"/>
    <w:rsid w:val="004B30FA"/>
    <w:rsid w:val="004E1CF0"/>
    <w:rsid w:val="004F4B6F"/>
    <w:rsid w:val="00546516"/>
    <w:rsid w:val="00565ED7"/>
    <w:rsid w:val="00594DD1"/>
    <w:rsid w:val="005A1CB4"/>
    <w:rsid w:val="005B2676"/>
    <w:rsid w:val="005C0E39"/>
    <w:rsid w:val="005F0655"/>
    <w:rsid w:val="00621B9E"/>
    <w:rsid w:val="007D6B65"/>
    <w:rsid w:val="00856555"/>
    <w:rsid w:val="009A180E"/>
    <w:rsid w:val="009B3423"/>
    <w:rsid w:val="00B061F2"/>
    <w:rsid w:val="00B426B3"/>
    <w:rsid w:val="00B875E0"/>
    <w:rsid w:val="00BB6947"/>
    <w:rsid w:val="00BC1641"/>
    <w:rsid w:val="00BF107B"/>
    <w:rsid w:val="00BF3803"/>
    <w:rsid w:val="00C75522"/>
    <w:rsid w:val="00C8007D"/>
    <w:rsid w:val="00CB4F0E"/>
    <w:rsid w:val="00CC2343"/>
    <w:rsid w:val="00D43D54"/>
    <w:rsid w:val="00DA6787"/>
    <w:rsid w:val="00DC08A4"/>
    <w:rsid w:val="00DE5292"/>
    <w:rsid w:val="00E52997"/>
    <w:rsid w:val="00E836A5"/>
    <w:rsid w:val="00E86063"/>
    <w:rsid w:val="00ED0A93"/>
    <w:rsid w:val="00EF2F4A"/>
    <w:rsid w:val="00F016C6"/>
    <w:rsid w:val="00F32694"/>
    <w:rsid w:val="00F95BD8"/>
    <w:rsid w:val="00FA0477"/>
    <w:rsid w:val="03B6CA9A"/>
    <w:rsid w:val="04ED12D9"/>
    <w:rsid w:val="070C0F4D"/>
    <w:rsid w:val="0B35239C"/>
    <w:rsid w:val="0E52C55A"/>
    <w:rsid w:val="0FFA3208"/>
    <w:rsid w:val="104215FF"/>
    <w:rsid w:val="11C0D377"/>
    <w:rsid w:val="1589D8DC"/>
    <w:rsid w:val="180F503E"/>
    <w:rsid w:val="1A64064D"/>
    <w:rsid w:val="1B270495"/>
    <w:rsid w:val="1C67EDE0"/>
    <w:rsid w:val="1E2087D2"/>
    <w:rsid w:val="20160485"/>
    <w:rsid w:val="21158192"/>
    <w:rsid w:val="254FD830"/>
    <w:rsid w:val="260C4BB0"/>
    <w:rsid w:val="27DB0263"/>
    <w:rsid w:val="292F98FB"/>
    <w:rsid w:val="2BBC13E0"/>
    <w:rsid w:val="2DFF5F64"/>
    <w:rsid w:val="2E01FFAC"/>
    <w:rsid w:val="2EE8F48C"/>
    <w:rsid w:val="35BD497F"/>
    <w:rsid w:val="36584830"/>
    <w:rsid w:val="36895226"/>
    <w:rsid w:val="3BED96CD"/>
    <w:rsid w:val="3D8AAEF3"/>
    <w:rsid w:val="3D9B10AB"/>
    <w:rsid w:val="43DCC55C"/>
    <w:rsid w:val="4640066A"/>
    <w:rsid w:val="47D4578D"/>
    <w:rsid w:val="4CF78B49"/>
    <w:rsid w:val="500CFC6A"/>
    <w:rsid w:val="50D0578E"/>
    <w:rsid w:val="510BD289"/>
    <w:rsid w:val="5287C946"/>
    <w:rsid w:val="5774E161"/>
    <w:rsid w:val="58648CFF"/>
    <w:rsid w:val="591DE71C"/>
    <w:rsid w:val="5AABFC4F"/>
    <w:rsid w:val="5BE32A1F"/>
    <w:rsid w:val="5C0D9822"/>
    <w:rsid w:val="5C861D62"/>
    <w:rsid w:val="5F083973"/>
    <w:rsid w:val="60BAFFF7"/>
    <w:rsid w:val="6136D6B2"/>
    <w:rsid w:val="61667CF1"/>
    <w:rsid w:val="64FC1881"/>
    <w:rsid w:val="6746A540"/>
    <w:rsid w:val="685EDB42"/>
    <w:rsid w:val="723408AE"/>
    <w:rsid w:val="766305F1"/>
    <w:rsid w:val="7906136D"/>
    <w:rsid w:val="79C4B93B"/>
    <w:rsid w:val="7C68AD2E"/>
    <w:rsid w:val="7D0A03ED"/>
    <w:rsid w:val="7E6CA9FF"/>
    <w:rsid w:val="7EA3B3F2"/>
    <w:rsid w:val="7F75C5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AB12"/>
  <w15:chartTrackingRefBased/>
  <w15:docId w15:val="{F94719E4-7E35-42D9-BB71-E4B589379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056415"/>
    <w:pPr>
      <w:jc w:val="both"/>
    </w:pPr>
  </w:style>
  <w:style w:type="paragraph" w:styleId="Nagwek1">
    <w:name w:val="heading 1"/>
    <w:basedOn w:val="Normalny"/>
    <w:next w:val="Normalny"/>
    <w:link w:val="Nagwek1Znak"/>
    <w:uiPriority w:val="9"/>
    <w:qFormat/>
    <w:rsid w:val="00056415"/>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056415"/>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056415"/>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056415"/>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056415"/>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05641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5641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5641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56415"/>
    <w:pPr>
      <w:keepNext/>
      <w:keepLines/>
      <w:spacing w:after="0"/>
      <w:outlineLvl w:val="8"/>
    </w:pPr>
    <w:rPr>
      <w:rFonts w:eastAsiaTheme="majorEastAsia" w:cstheme="majorBidi"/>
      <w:color w:val="272727" w:themeColor="text1" w:themeTint="D8"/>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uiPriority w:val="9"/>
    <w:rsid w:val="00056415"/>
    <w:rPr>
      <w:rFonts w:asciiTheme="majorHAnsi" w:hAnsiTheme="majorHAnsi" w:eastAsiaTheme="majorEastAsia" w:cstheme="majorBidi"/>
      <w:color w:val="2E74B5" w:themeColor="accent1" w:themeShade="BF"/>
      <w:sz w:val="40"/>
      <w:szCs w:val="40"/>
    </w:rPr>
  </w:style>
  <w:style w:type="character" w:styleId="Nagwek2Znak" w:customStyle="1">
    <w:name w:val="Nagłówek 2 Znak"/>
    <w:basedOn w:val="Domylnaczcionkaakapitu"/>
    <w:link w:val="Nagwek2"/>
    <w:uiPriority w:val="9"/>
    <w:rsid w:val="00056415"/>
    <w:rPr>
      <w:rFonts w:asciiTheme="majorHAnsi" w:hAnsiTheme="majorHAnsi" w:eastAsiaTheme="majorEastAsia" w:cstheme="majorBidi"/>
      <w:color w:val="2E74B5" w:themeColor="accent1" w:themeShade="BF"/>
      <w:sz w:val="32"/>
      <w:szCs w:val="32"/>
    </w:rPr>
  </w:style>
  <w:style w:type="character" w:styleId="Nagwek3Znak" w:customStyle="1">
    <w:name w:val="Nagłówek 3 Znak"/>
    <w:basedOn w:val="Domylnaczcionkaakapitu"/>
    <w:link w:val="Nagwek3"/>
    <w:uiPriority w:val="9"/>
    <w:semiHidden/>
    <w:rsid w:val="00056415"/>
    <w:rPr>
      <w:rFonts w:eastAsiaTheme="majorEastAsia" w:cstheme="majorBidi"/>
      <w:color w:val="2E74B5" w:themeColor="accent1" w:themeShade="BF"/>
      <w:sz w:val="28"/>
      <w:szCs w:val="28"/>
    </w:rPr>
  </w:style>
  <w:style w:type="character" w:styleId="Nagwek4Znak" w:customStyle="1">
    <w:name w:val="Nagłówek 4 Znak"/>
    <w:basedOn w:val="Domylnaczcionkaakapitu"/>
    <w:link w:val="Nagwek4"/>
    <w:uiPriority w:val="9"/>
    <w:semiHidden/>
    <w:rsid w:val="00056415"/>
    <w:rPr>
      <w:rFonts w:eastAsiaTheme="majorEastAsia" w:cstheme="majorBidi"/>
      <w:i/>
      <w:iCs/>
      <w:color w:val="2E74B5" w:themeColor="accent1" w:themeShade="BF"/>
    </w:rPr>
  </w:style>
  <w:style w:type="character" w:styleId="Nagwek5Znak" w:customStyle="1">
    <w:name w:val="Nagłówek 5 Znak"/>
    <w:basedOn w:val="Domylnaczcionkaakapitu"/>
    <w:link w:val="Nagwek5"/>
    <w:uiPriority w:val="9"/>
    <w:semiHidden/>
    <w:rsid w:val="00056415"/>
    <w:rPr>
      <w:rFonts w:eastAsiaTheme="majorEastAsia" w:cstheme="majorBidi"/>
      <w:color w:val="2E74B5" w:themeColor="accent1" w:themeShade="BF"/>
    </w:rPr>
  </w:style>
  <w:style w:type="character" w:styleId="Nagwek6Znak" w:customStyle="1">
    <w:name w:val="Nagłówek 6 Znak"/>
    <w:basedOn w:val="Domylnaczcionkaakapitu"/>
    <w:link w:val="Nagwek6"/>
    <w:uiPriority w:val="9"/>
    <w:semiHidden/>
    <w:rsid w:val="00056415"/>
    <w:rPr>
      <w:rFonts w:eastAsiaTheme="majorEastAsia" w:cstheme="majorBidi"/>
      <w:i/>
      <w:iCs/>
      <w:color w:val="595959" w:themeColor="text1" w:themeTint="A6"/>
    </w:rPr>
  </w:style>
  <w:style w:type="character" w:styleId="Nagwek7Znak" w:customStyle="1">
    <w:name w:val="Nagłówek 7 Znak"/>
    <w:basedOn w:val="Domylnaczcionkaakapitu"/>
    <w:link w:val="Nagwek7"/>
    <w:uiPriority w:val="9"/>
    <w:semiHidden/>
    <w:rsid w:val="00056415"/>
    <w:rPr>
      <w:rFonts w:eastAsiaTheme="majorEastAsia" w:cstheme="majorBidi"/>
      <w:color w:val="595959" w:themeColor="text1" w:themeTint="A6"/>
    </w:rPr>
  </w:style>
  <w:style w:type="character" w:styleId="Nagwek8Znak" w:customStyle="1">
    <w:name w:val="Nagłówek 8 Znak"/>
    <w:basedOn w:val="Domylnaczcionkaakapitu"/>
    <w:link w:val="Nagwek8"/>
    <w:uiPriority w:val="9"/>
    <w:semiHidden/>
    <w:rsid w:val="00056415"/>
    <w:rPr>
      <w:rFonts w:eastAsiaTheme="majorEastAsia" w:cstheme="majorBidi"/>
      <w:i/>
      <w:iCs/>
      <w:color w:val="272727" w:themeColor="text1" w:themeTint="D8"/>
    </w:rPr>
  </w:style>
  <w:style w:type="character" w:styleId="Nagwek9Znak" w:customStyle="1">
    <w:name w:val="Nagłówek 9 Znak"/>
    <w:basedOn w:val="Domylnaczcionkaakapitu"/>
    <w:link w:val="Nagwek9"/>
    <w:uiPriority w:val="9"/>
    <w:semiHidden/>
    <w:rsid w:val="00056415"/>
    <w:rPr>
      <w:rFonts w:eastAsiaTheme="majorEastAsia" w:cstheme="majorBidi"/>
      <w:color w:val="272727" w:themeColor="text1" w:themeTint="D8"/>
    </w:rPr>
  </w:style>
  <w:style w:type="paragraph" w:styleId="Tytu">
    <w:name w:val="Title"/>
    <w:basedOn w:val="Normalny"/>
    <w:next w:val="Normalny"/>
    <w:link w:val="TytuZnak"/>
    <w:uiPriority w:val="10"/>
    <w:qFormat/>
    <w:rsid w:val="00056415"/>
    <w:pPr>
      <w:spacing w:after="80" w:line="240" w:lineRule="auto"/>
      <w:contextualSpacing/>
    </w:pPr>
    <w:rPr>
      <w:rFonts w:asciiTheme="majorHAnsi" w:hAnsiTheme="majorHAnsi" w:eastAsiaTheme="majorEastAsia" w:cstheme="majorBidi"/>
      <w:spacing w:val="-10"/>
      <w:kern w:val="28"/>
      <w:sz w:val="56"/>
      <w:szCs w:val="56"/>
    </w:rPr>
  </w:style>
  <w:style w:type="character" w:styleId="TytuZnak" w:customStyle="1">
    <w:name w:val="Tytuł Znak"/>
    <w:basedOn w:val="Domylnaczcionkaakapitu"/>
    <w:link w:val="Tytu"/>
    <w:uiPriority w:val="10"/>
    <w:rsid w:val="00056415"/>
    <w:rPr>
      <w:rFonts w:asciiTheme="majorHAnsi" w:hAnsiTheme="majorHAnsi" w:eastAsiaTheme="majorEastAsia" w:cstheme="majorBidi"/>
      <w:spacing w:val="-10"/>
      <w:kern w:val="28"/>
      <w:sz w:val="56"/>
      <w:szCs w:val="56"/>
    </w:rPr>
  </w:style>
  <w:style w:type="paragraph" w:styleId="Podtytu">
    <w:name w:val="Subtitle"/>
    <w:basedOn w:val="Normalny"/>
    <w:next w:val="Normalny"/>
    <w:link w:val="PodtytuZnak"/>
    <w:uiPriority w:val="11"/>
    <w:qFormat/>
    <w:rsid w:val="00056415"/>
    <w:pPr>
      <w:numPr>
        <w:ilvl w:val="1"/>
      </w:numPr>
    </w:pPr>
    <w:rPr>
      <w:rFonts w:eastAsiaTheme="majorEastAsia" w:cstheme="majorBidi"/>
      <w:color w:val="595959" w:themeColor="text1" w:themeTint="A6"/>
      <w:spacing w:val="15"/>
      <w:sz w:val="28"/>
      <w:szCs w:val="28"/>
    </w:rPr>
  </w:style>
  <w:style w:type="character" w:styleId="PodtytuZnak" w:customStyle="1">
    <w:name w:val="Podtytuł Znak"/>
    <w:basedOn w:val="Domylnaczcionkaakapitu"/>
    <w:link w:val="Podtytu"/>
    <w:uiPriority w:val="11"/>
    <w:rsid w:val="0005641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56415"/>
    <w:pPr>
      <w:spacing w:before="160"/>
      <w:jc w:val="center"/>
    </w:pPr>
    <w:rPr>
      <w:i/>
      <w:iCs/>
      <w:color w:val="404040" w:themeColor="text1" w:themeTint="BF"/>
    </w:rPr>
  </w:style>
  <w:style w:type="character" w:styleId="CytatZnak" w:customStyle="1">
    <w:name w:val="Cytat Znak"/>
    <w:basedOn w:val="Domylnaczcionkaakapitu"/>
    <w:link w:val="Cytat"/>
    <w:uiPriority w:val="29"/>
    <w:rsid w:val="00056415"/>
    <w:rPr>
      <w:i/>
      <w:iCs/>
      <w:color w:val="404040" w:themeColor="text1" w:themeTint="BF"/>
    </w:rPr>
  </w:style>
  <w:style w:type="paragraph" w:styleId="Akapitzlist">
    <w:name w:val="List Paragraph"/>
    <w:basedOn w:val="Normalny"/>
    <w:uiPriority w:val="34"/>
    <w:qFormat/>
    <w:rsid w:val="00056415"/>
    <w:pPr>
      <w:ind w:left="720"/>
      <w:contextualSpacing/>
    </w:pPr>
  </w:style>
  <w:style w:type="character" w:styleId="Wyrnienieintensywne">
    <w:name w:val="Intense Emphasis"/>
    <w:basedOn w:val="Domylnaczcionkaakapitu"/>
    <w:uiPriority w:val="21"/>
    <w:qFormat/>
    <w:rsid w:val="00056415"/>
    <w:rPr>
      <w:i/>
      <w:iCs/>
      <w:color w:val="2E74B5" w:themeColor="accent1" w:themeShade="BF"/>
    </w:rPr>
  </w:style>
  <w:style w:type="paragraph" w:styleId="Cytatintensywny">
    <w:name w:val="Intense Quote"/>
    <w:basedOn w:val="Normalny"/>
    <w:next w:val="Normalny"/>
    <w:link w:val="CytatintensywnyZnak"/>
    <w:uiPriority w:val="30"/>
    <w:qFormat/>
    <w:rsid w:val="00056415"/>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CytatintensywnyZnak" w:customStyle="1">
    <w:name w:val="Cytat intensywny Znak"/>
    <w:basedOn w:val="Domylnaczcionkaakapitu"/>
    <w:link w:val="Cytatintensywny"/>
    <w:uiPriority w:val="30"/>
    <w:rsid w:val="00056415"/>
    <w:rPr>
      <w:i/>
      <w:iCs/>
      <w:color w:val="2E74B5" w:themeColor="accent1" w:themeShade="BF"/>
    </w:rPr>
  </w:style>
  <w:style w:type="character" w:styleId="Odwoanieintensywne">
    <w:name w:val="Intense Reference"/>
    <w:basedOn w:val="Domylnaczcionkaakapitu"/>
    <w:uiPriority w:val="32"/>
    <w:qFormat/>
    <w:rsid w:val="00056415"/>
    <w:rPr>
      <w:b/>
      <w:bCs/>
      <w:smallCaps/>
      <w:color w:val="2E74B5" w:themeColor="accent1" w:themeShade="BF"/>
      <w:spacing w:val="5"/>
    </w:rPr>
  </w:style>
  <w:style w:type="table" w:styleId="Tabela-Siatka">
    <w:name w:val="Table Grid"/>
    <w:basedOn w:val="Standardowy"/>
    <w:uiPriority w:val="39"/>
    <w:rsid w:val="000564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gwekspisutreci">
    <w:name w:val="TOC Heading"/>
    <w:basedOn w:val="Nagwek1"/>
    <w:next w:val="Normalny"/>
    <w:uiPriority w:val="39"/>
    <w:unhideWhenUsed/>
    <w:qFormat/>
    <w:rsid w:val="00F95BD8"/>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DE5292"/>
    <w:pPr>
      <w:tabs>
        <w:tab w:val="left" w:pos="720"/>
        <w:tab w:val="right" w:leader="dot" w:pos="9062"/>
      </w:tabs>
      <w:spacing w:after="100"/>
      <w:ind w:left="567" w:hanging="567"/>
    </w:pPr>
    <w:rPr>
      <w:rFonts w:ascii="Arial" w:hAnsi="Arial" w:cs="Arial"/>
      <w:noProof/>
      <w:sz w:val="24"/>
      <w:szCs w:val="24"/>
    </w:rPr>
  </w:style>
  <w:style w:type="character" w:styleId="Hipercze">
    <w:name w:val="Hyperlink"/>
    <w:basedOn w:val="Domylnaczcionkaakapitu"/>
    <w:uiPriority w:val="99"/>
    <w:unhideWhenUsed/>
    <w:rsid w:val="00F95BD8"/>
    <w:rPr>
      <w:color w:val="0563C1" w:themeColor="hyperlink"/>
      <w:u w:val="single"/>
    </w:rPr>
  </w:style>
  <w:style w:type="paragraph" w:styleId="Tekstprzypisukocowego">
    <w:name w:val="endnote text"/>
    <w:basedOn w:val="Normalny"/>
    <w:link w:val="TekstprzypisukocowegoZnak"/>
    <w:uiPriority w:val="99"/>
    <w:semiHidden/>
    <w:unhideWhenUsed/>
    <w:rsid w:val="00D43D54"/>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D43D54"/>
    <w:rPr>
      <w:sz w:val="20"/>
      <w:szCs w:val="20"/>
    </w:rPr>
  </w:style>
  <w:style w:type="character" w:styleId="Odwoanieprzypisukocowego">
    <w:name w:val="endnote reference"/>
    <w:basedOn w:val="Domylnaczcionkaakapitu"/>
    <w:uiPriority w:val="99"/>
    <w:semiHidden/>
    <w:unhideWhenUsed/>
    <w:rsid w:val="00D43D54"/>
    <w:rPr>
      <w:vertAlign w:val="superscript"/>
    </w:rPr>
  </w:style>
  <w:style w:type="character" w:styleId="Odwoaniedokomentarza">
    <w:name w:val="annotation reference"/>
    <w:basedOn w:val="Domylnaczcionkaakapitu"/>
    <w:uiPriority w:val="99"/>
    <w:semiHidden/>
    <w:unhideWhenUsed/>
    <w:rsid w:val="005F0655"/>
    <w:rPr>
      <w:sz w:val="16"/>
      <w:szCs w:val="16"/>
    </w:rPr>
  </w:style>
  <w:style w:type="paragraph" w:styleId="Tekstkomentarza">
    <w:name w:val="annotation text"/>
    <w:basedOn w:val="Normalny"/>
    <w:link w:val="TekstkomentarzaZnak"/>
    <w:uiPriority w:val="99"/>
    <w:unhideWhenUsed/>
    <w:rsid w:val="005F0655"/>
    <w:pPr>
      <w:spacing w:line="240" w:lineRule="auto"/>
    </w:pPr>
    <w:rPr>
      <w:sz w:val="20"/>
      <w:szCs w:val="20"/>
    </w:rPr>
  </w:style>
  <w:style w:type="character" w:styleId="TekstkomentarzaZnak" w:customStyle="1">
    <w:name w:val="Tekst komentarza Znak"/>
    <w:basedOn w:val="Domylnaczcionkaakapitu"/>
    <w:link w:val="Tekstkomentarza"/>
    <w:uiPriority w:val="99"/>
    <w:rsid w:val="005F0655"/>
    <w:rPr>
      <w:sz w:val="20"/>
      <w:szCs w:val="20"/>
    </w:rPr>
  </w:style>
  <w:style w:type="paragraph" w:styleId="Tematkomentarza">
    <w:name w:val="annotation subject"/>
    <w:basedOn w:val="Tekstkomentarza"/>
    <w:next w:val="Tekstkomentarza"/>
    <w:link w:val="TematkomentarzaZnak"/>
    <w:uiPriority w:val="99"/>
    <w:semiHidden/>
    <w:unhideWhenUsed/>
    <w:rsid w:val="005F0655"/>
    <w:rPr>
      <w:b/>
      <w:bCs/>
    </w:rPr>
  </w:style>
  <w:style w:type="character" w:styleId="TematkomentarzaZnak" w:customStyle="1">
    <w:name w:val="Temat komentarza Znak"/>
    <w:basedOn w:val="TekstkomentarzaZnak"/>
    <w:link w:val="Tematkomentarza"/>
    <w:uiPriority w:val="99"/>
    <w:semiHidden/>
    <w:rsid w:val="005F06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58060-30EA-416C-B492-3819875236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19BCE8-0BD4-46D0-943B-57078B96A06C}">
  <ds:schemaRefs>
    <ds:schemaRef ds:uri="http://schemas.openxmlformats.org/officeDocument/2006/bibliography"/>
  </ds:schemaRefs>
</ds:datastoreItem>
</file>

<file path=customXml/itemProps3.xml><?xml version="1.0" encoding="utf-8"?>
<ds:datastoreItem xmlns:ds="http://schemas.openxmlformats.org/officeDocument/2006/customXml" ds:itemID="{DEDA4920-6462-49D0-9FBA-05FC5F08B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F605A-0A04-4A54-9074-4726E9277AE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Sitko Jacek (ORL)</dc:creator>
  <keywords/>
  <dc:description/>
  <lastModifiedBy>Szeląg-Borowska Agnieszka (ORL)</lastModifiedBy>
  <revision>17</revision>
  <dcterms:created xsi:type="dcterms:W3CDTF">2025-11-17T11:52:00.0000000Z</dcterms:created>
  <dcterms:modified xsi:type="dcterms:W3CDTF">2026-07-24T17:02:00.9215807Z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2025-10-29T10:34:26Z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a82c2c64-55be-4575-958a-ed30211c2b5f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0x0101001D06C41978F31C409F4A7F68FF64A6EE</vt:lpwstr>
  </property>
  <property fmtid="{D5CDD505-2E9C-101B-9397-08002B2CF9AE}" pid="11" name="MSIP_Label_53312e15-a5e9-4500-a857-15b9f442bba9_Enabled">
    <vt:lpwstr>true</vt:lpwstr>
  </property>
  <property fmtid="{D5CDD505-2E9C-101B-9397-08002B2CF9AE}" pid="12" name="MSIP_Label_53312e15-a5e9-4500-a857-15b9f442bba9_SetDate">
    <vt:lpwstr>2025-11-17T11:52:50Z</vt:lpwstr>
  </property>
  <property fmtid="{D5CDD505-2E9C-101B-9397-08002B2CF9AE}" pid="13" name="MSIP_Label_53312e15-a5e9-4500-a857-15b9f442bba9_Method">
    <vt:lpwstr>Standard</vt:lpwstr>
  </property>
  <property fmtid="{D5CDD505-2E9C-101B-9397-08002B2CF9AE}" pid="14" name="MSIP_Label_53312e15-a5e9-4500-a857-15b9f442bba9_Name">
    <vt:lpwstr>Informacje służbowe</vt:lpwstr>
  </property>
  <property fmtid="{D5CDD505-2E9C-101B-9397-08002B2CF9AE}" pid="15" name="MSIP_Label_53312e15-a5e9-4500-a857-15b9f442bba9_SiteId">
    <vt:lpwstr>8240863f-2f43-471d-b2eb-4a75fb9fab5b</vt:lpwstr>
  </property>
  <property fmtid="{D5CDD505-2E9C-101B-9397-08002B2CF9AE}" pid="16" name="MSIP_Label_53312e15-a5e9-4500-a857-15b9f442bba9_ActionId">
    <vt:lpwstr>af5d217b-3e3d-4d2f-9781-8a984c232cc6</vt:lpwstr>
  </property>
  <property fmtid="{D5CDD505-2E9C-101B-9397-08002B2CF9AE}" pid="17" name="MSIP_Label_53312e15-a5e9-4500-a857-15b9f442bba9_ContentBits">
    <vt:lpwstr>0</vt:lpwstr>
  </property>
  <property fmtid="{D5CDD505-2E9C-101B-9397-08002B2CF9AE}" pid="18" name="MSIP_Label_53312e15-a5e9-4500-a857-15b9f442bba9_Tag">
    <vt:lpwstr>10, 3, 0, 1</vt:lpwstr>
  </property>
</Properties>
</file>